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B6843" w14:textId="77777777" w:rsidR="002E5C5F" w:rsidRPr="002E5C5F" w:rsidRDefault="002E5C5F" w:rsidP="002E5C5F">
      <w:pPr>
        <w:spacing w:after="0" w:line="240" w:lineRule="auto"/>
        <w:jc w:val="both"/>
        <w:rPr>
          <w:rFonts w:ascii="Verdana" w:hAnsi="Verdana" w:cs="Arial"/>
          <w:b/>
          <w:lang w:val="es-MX" w:eastAsia="es-ES_tradnl"/>
        </w:rPr>
      </w:pPr>
      <w:bookmarkStart w:id="0" w:name="_Hlk143780582"/>
      <w:r w:rsidRPr="002E5C5F">
        <w:rPr>
          <w:rFonts w:ascii="Verdana" w:hAnsi="Verdana" w:cs="Arial"/>
          <w:b/>
          <w:lang w:val="es-MX" w:eastAsia="es-ES_tradnl"/>
        </w:rPr>
        <w:t xml:space="preserve">LEY DE GARANTÍAS ELECTORALES </w:t>
      </w:r>
      <w:r w:rsidRPr="002E5C5F">
        <w:rPr>
          <w:rFonts w:ascii="Verdana" w:hAnsi="Verdana" w:cs="Arial"/>
          <w:b/>
          <w:bCs/>
          <w:lang w:val="es-MX" w:eastAsia="es-ES_tradnl"/>
        </w:rPr>
        <w:t>‒</w:t>
      </w:r>
      <w:r w:rsidRPr="002E5C5F">
        <w:rPr>
          <w:rFonts w:ascii="Verdana" w:hAnsi="Verdana" w:cs="Arial"/>
          <w:b/>
          <w:lang w:val="es-MX" w:eastAsia="es-ES_tradnl"/>
        </w:rPr>
        <w:t xml:space="preserve"> Finalidad </w:t>
      </w:r>
    </w:p>
    <w:p w14:paraId="733BCCEB" w14:textId="77777777" w:rsidR="002E5C5F" w:rsidRPr="002E5C5F" w:rsidRDefault="002E5C5F" w:rsidP="002E5C5F">
      <w:pPr>
        <w:spacing w:after="0" w:line="240" w:lineRule="auto"/>
        <w:jc w:val="both"/>
        <w:rPr>
          <w:rFonts w:ascii="Verdana" w:hAnsi="Verdana" w:cs="Arial"/>
          <w:b/>
          <w:lang w:val="es-MX" w:eastAsia="es-ES_tradnl"/>
        </w:rPr>
      </w:pPr>
    </w:p>
    <w:p w14:paraId="583159DE" w14:textId="77777777" w:rsidR="002E5C5F" w:rsidRPr="002E5C5F" w:rsidRDefault="002E5C5F" w:rsidP="002E5C5F">
      <w:pPr>
        <w:spacing w:after="0" w:line="240" w:lineRule="auto"/>
        <w:jc w:val="both"/>
        <w:rPr>
          <w:rFonts w:ascii="Verdana" w:eastAsia="Times New Roman" w:hAnsi="Verdana" w:cs="Arial"/>
          <w:sz w:val="20"/>
          <w:lang w:val="es-MX" w:eastAsia="es-CO"/>
        </w:rPr>
      </w:pPr>
      <w:r w:rsidRPr="002E5C5F">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78517548" w14:textId="77777777" w:rsidR="002E5C5F" w:rsidRPr="002E5C5F" w:rsidRDefault="002E5C5F" w:rsidP="002E5C5F">
      <w:pPr>
        <w:spacing w:after="0" w:line="240" w:lineRule="auto"/>
        <w:jc w:val="both"/>
        <w:rPr>
          <w:rFonts w:ascii="Verdana" w:hAnsi="Verdana" w:cs="Arial"/>
          <w:b/>
          <w:sz w:val="20"/>
          <w:lang w:val="es-MX" w:eastAsia="es-ES_tradnl"/>
        </w:rPr>
      </w:pPr>
    </w:p>
    <w:p w14:paraId="680D50FA" w14:textId="77777777" w:rsidR="002E5C5F" w:rsidRPr="002E5C5F" w:rsidRDefault="002E5C5F" w:rsidP="002E5C5F">
      <w:pPr>
        <w:spacing w:after="0" w:line="240" w:lineRule="auto"/>
        <w:jc w:val="both"/>
        <w:rPr>
          <w:rFonts w:ascii="Verdana" w:hAnsi="Verdana" w:cs="Arial"/>
          <w:b/>
          <w:lang w:val="es-MX" w:eastAsia="es-ES_tradnl"/>
        </w:rPr>
      </w:pPr>
      <w:r w:rsidRPr="002E5C5F">
        <w:rPr>
          <w:rFonts w:ascii="Verdana" w:hAnsi="Verdana" w:cs="Arial"/>
          <w:b/>
          <w:lang w:val="es-MX" w:eastAsia="es-ES_tradnl"/>
        </w:rPr>
        <w:t xml:space="preserve">LEY DE GARANTÍAS ELECTORALES </w:t>
      </w:r>
      <w:r w:rsidRPr="002E5C5F">
        <w:rPr>
          <w:rFonts w:ascii="Verdana" w:hAnsi="Verdana" w:cs="Arial"/>
          <w:b/>
          <w:bCs/>
          <w:lang w:val="es-MX" w:eastAsia="es-ES_tradnl"/>
        </w:rPr>
        <w:t>‒</w:t>
      </w:r>
      <w:r w:rsidRPr="002E5C5F">
        <w:rPr>
          <w:rFonts w:ascii="Verdana" w:hAnsi="Verdana" w:cs="Arial"/>
          <w:b/>
          <w:lang w:val="es-MX" w:eastAsia="es-ES_tradnl"/>
        </w:rPr>
        <w:t xml:space="preserve"> Tipos de restricciones </w:t>
      </w:r>
      <w:r w:rsidRPr="002E5C5F">
        <w:rPr>
          <w:rFonts w:ascii="Verdana" w:hAnsi="Verdana" w:cs="Arial"/>
          <w:b/>
          <w:bCs/>
          <w:lang w:val="es-MX" w:eastAsia="es-ES_tradnl"/>
        </w:rPr>
        <w:t>‒</w:t>
      </w:r>
      <w:r w:rsidRPr="002E5C5F">
        <w:rPr>
          <w:rFonts w:ascii="Verdana" w:hAnsi="Verdana" w:cs="Arial"/>
          <w:b/>
          <w:lang w:val="es-MX" w:eastAsia="es-ES_tradnl"/>
        </w:rPr>
        <w:t xml:space="preserve"> Ámbito temporal – celebración- límite</w:t>
      </w:r>
    </w:p>
    <w:p w14:paraId="61E8708B" w14:textId="77777777" w:rsidR="002E5C5F" w:rsidRPr="002E5C5F" w:rsidRDefault="002E5C5F" w:rsidP="002E5C5F">
      <w:pPr>
        <w:spacing w:after="0" w:line="240" w:lineRule="auto"/>
        <w:jc w:val="both"/>
        <w:rPr>
          <w:rFonts w:ascii="Verdana" w:hAnsi="Verdana" w:cs="Arial"/>
          <w:b/>
          <w:lang w:val="es-MX" w:eastAsia="es-ES_tradnl"/>
        </w:rPr>
      </w:pPr>
    </w:p>
    <w:p w14:paraId="2D3269A7" w14:textId="77777777" w:rsidR="002E5C5F" w:rsidRPr="002E5C5F" w:rsidRDefault="002E5C5F" w:rsidP="002E5C5F">
      <w:pPr>
        <w:spacing w:after="0" w:line="240" w:lineRule="auto"/>
        <w:jc w:val="both"/>
        <w:rPr>
          <w:rFonts w:ascii="Verdana" w:eastAsia="Calibri" w:hAnsi="Verdana" w:cs="Arial"/>
          <w:sz w:val="20"/>
        </w:rPr>
      </w:pPr>
      <w:r w:rsidRPr="002E5C5F">
        <w:rPr>
          <w:rFonts w:ascii="Verdana" w:eastAsia="Calibri" w:hAnsi="Verdana" w:cs="Arial"/>
          <w:sz w:val="20"/>
        </w:rPr>
        <w:t xml:space="preserve">Por un lado, el </w:t>
      </w:r>
      <w:r w:rsidRPr="002E5C5F">
        <w:rPr>
          <w:rFonts w:ascii="Verdana" w:eastAsia="Calibri" w:hAnsi="Verdana" w:cs="Arial"/>
          <w:i/>
          <w:iCs/>
          <w:sz w:val="20"/>
        </w:rPr>
        <w:t>artículo 33 de la Ley 996 de 2005</w:t>
      </w:r>
      <w:r w:rsidRPr="002E5C5F">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020BE764" w14:textId="77777777" w:rsidR="002E5C5F" w:rsidRPr="002E5C5F" w:rsidRDefault="002E5C5F" w:rsidP="002E5C5F">
      <w:pPr>
        <w:spacing w:after="0" w:line="240" w:lineRule="auto"/>
        <w:jc w:val="both"/>
        <w:rPr>
          <w:rFonts w:ascii="Verdana" w:eastAsia="Calibri" w:hAnsi="Verdana" w:cs="Arial"/>
          <w:sz w:val="20"/>
        </w:rPr>
      </w:pPr>
    </w:p>
    <w:p w14:paraId="1DB891E4" w14:textId="77777777" w:rsidR="002E5C5F" w:rsidRPr="002E5C5F" w:rsidRDefault="002E5C5F" w:rsidP="002E5C5F">
      <w:pPr>
        <w:widowControl w:val="0"/>
        <w:autoSpaceDE w:val="0"/>
        <w:autoSpaceDN w:val="0"/>
        <w:spacing w:after="0" w:line="240" w:lineRule="auto"/>
        <w:ind w:right="113"/>
        <w:jc w:val="both"/>
        <w:rPr>
          <w:rFonts w:ascii="Verdana" w:eastAsia="Arial" w:hAnsi="Verdana" w:cs="Arial"/>
          <w:sz w:val="20"/>
          <w:lang w:val="es-ES" w:eastAsia="es-ES" w:bidi="es-ES"/>
        </w:rPr>
      </w:pPr>
      <w:r w:rsidRPr="002E5C5F">
        <w:rPr>
          <w:rFonts w:ascii="Verdana" w:eastAsia="Calibri" w:hAnsi="Verdana" w:cs="Arial"/>
          <w:sz w:val="20"/>
        </w:rPr>
        <w:t xml:space="preserve">Por otro lado, </w:t>
      </w:r>
      <w:r w:rsidRPr="002E5C5F">
        <w:rPr>
          <w:rFonts w:ascii="Verdana" w:eastAsia="Calibri" w:hAnsi="Verdana" w:cs="Arial"/>
          <w:i/>
          <w:iCs/>
          <w:sz w:val="20"/>
        </w:rPr>
        <w:t>el parágrafo del artículo 38 de la Ley 996 de 2005</w:t>
      </w:r>
      <w:r w:rsidRPr="002E5C5F">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2E5C5F">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E5C5F">
        <w:rPr>
          <w:rFonts w:ascii="Verdana" w:eastAsia="Calibri" w:hAnsi="Verdana" w:cs="Arial"/>
          <w:sz w:val="20"/>
        </w:rPr>
        <w:t>”</w:t>
      </w:r>
      <w:r w:rsidRPr="002E5C5F">
        <w:rPr>
          <w:rFonts w:ascii="Verdana" w:eastAsia="Calibri" w:hAnsi="Verdana" w:cs="Arial"/>
          <w:sz w:val="20"/>
          <w:lang w:val="es-MX"/>
        </w:rPr>
        <w:t>.</w:t>
      </w:r>
      <w:r w:rsidRPr="002E5C5F">
        <w:rPr>
          <w:rFonts w:ascii="Verdana" w:eastAsia="Arial" w:hAnsi="Verdana" w:cs="Arial"/>
          <w:sz w:val="20"/>
          <w:lang w:val="es-ES" w:eastAsia="es-ES" w:bidi="es-ES"/>
        </w:rPr>
        <w:t xml:space="preserve"> </w:t>
      </w:r>
    </w:p>
    <w:p w14:paraId="4CC191E6" w14:textId="77777777" w:rsidR="002E5C5F" w:rsidRPr="002E5C5F" w:rsidRDefault="002E5C5F" w:rsidP="002E5C5F">
      <w:pPr>
        <w:widowControl w:val="0"/>
        <w:autoSpaceDE w:val="0"/>
        <w:autoSpaceDN w:val="0"/>
        <w:spacing w:after="0" w:line="240" w:lineRule="auto"/>
        <w:ind w:right="113"/>
        <w:jc w:val="both"/>
        <w:rPr>
          <w:rFonts w:ascii="Verdana" w:eastAsia="Arial" w:hAnsi="Verdana" w:cs="Arial"/>
          <w:sz w:val="20"/>
          <w:lang w:val="es-ES" w:eastAsia="es-ES" w:bidi="es-ES"/>
        </w:rPr>
      </w:pPr>
    </w:p>
    <w:p w14:paraId="39070CA1" w14:textId="77777777" w:rsidR="002E5C5F" w:rsidRPr="002E5C5F" w:rsidRDefault="002E5C5F" w:rsidP="002E5C5F">
      <w:pPr>
        <w:spacing w:after="0" w:line="240" w:lineRule="auto"/>
        <w:jc w:val="both"/>
        <w:rPr>
          <w:rFonts w:ascii="Verdana" w:eastAsia="Times New Roman" w:hAnsi="Verdana" w:cs="Arial"/>
          <w:bCs/>
          <w:sz w:val="20"/>
          <w:lang w:val="es-ES" w:eastAsia="es-CO"/>
        </w:rPr>
      </w:pPr>
      <w:r w:rsidRPr="002E5C5F">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2E5C5F">
        <w:rPr>
          <w:rFonts w:ascii="Verdana" w:eastAsia="Times New Roman" w:hAnsi="Verdana" w:cs="Arial"/>
          <w:bCs/>
          <w:sz w:val="20"/>
          <w:lang w:val="es-ES" w:eastAsia="es-CO"/>
        </w:rPr>
        <w:t xml:space="preserve">la existencia de los contratos estatales, es decir, la producción de efectos jurídicos en los términos del artículo 1501 </w:t>
      </w:r>
      <w:proofErr w:type="spellStart"/>
      <w:r w:rsidRPr="002E5C5F">
        <w:rPr>
          <w:rFonts w:ascii="Verdana" w:eastAsia="Times New Roman" w:hAnsi="Verdana" w:cs="Arial"/>
          <w:bCs/>
          <w:i/>
          <w:sz w:val="20"/>
          <w:lang w:val="es-ES" w:eastAsia="es-CO"/>
        </w:rPr>
        <w:t>ibídem</w:t>
      </w:r>
      <w:proofErr w:type="spellEnd"/>
      <w:r w:rsidRPr="002E5C5F">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5E7C61CA" w14:textId="77777777" w:rsidR="002E5C5F" w:rsidRPr="002E5C5F" w:rsidRDefault="002E5C5F" w:rsidP="002E5C5F">
      <w:pPr>
        <w:spacing w:after="0" w:line="240" w:lineRule="auto"/>
        <w:jc w:val="both"/>
        <w:rPr>
          <w:rFonts w:ascii="Verdana" w:hAnsi="Verdana" w:cs="Arial"/>
          <w:b/>
          <w:lang w:val="es-ES" w:eastAsia="es-ES_tradnl"/>
        </w:rPr>
      </w:pPr>
    </w:p>
    <w:p w14:paraId="64C07266" w14:textId="77777777" w:rsidR="002E5C5F" w:rsidRPr="002E5C5F" w:rsidRDefault="002E5C5F" w:rsidP="002E5C5F">
      <w:pPr>
        <w:spacing w:after="0" w:line="240" w:lineRule="auto"/>
        <w:jc w:val="both"/>
        <w:rPr>
          <w:rFonts w:ascii="Verdana" w:hAnsi="Verdana" w:cs="Arial"/>
          <w:b/>
          <w:lang w:val="es-MX" w:eastAsia="es-ES_tradnl"/>
        </w:rPr>
      </w:pPr>
      <w:r w:rsidRPr="002E5C5F">
        <w:rPr>
          <w:rFonts w:ascii="Verdana" w:hAnsi="Verdana" w:cs="Arial"/>
          <w:b/>
          <w:lang w:val="es-MX" w:eastAsia="es-ES_tradnl"/>
        </w:rPr>
        <w:t xml:space="preserve">LEY DE GARANTÍAS ELECTORALES – Contratos y convenios interadministrativos – Criterio orgánico </w:t>
      </w:r>
    </w:p>
    <w:p w14:paraId="45F1A219" w14:textId="77777777" w:rsidR="002E5C5F" w:rsidRPr="002E5C5F" w:rsidRDefault="002E5C5F" w:rsidP="002E5C5F">
      <w:pPr>
        <w:spacing w:after="0" w:line="240" w:lineRule="auto"/>
        <w:jc w:val="both"/>
        <w:rPr>
          <w:rFonts w:ascii="Verdana" w:hAnsi="Verdana" w:cs="Arial"/>
          <w:b/>
          <w:lang w:val="es-MX" w:eastAsia="es-ES_tradnl"/>
        </w:rPr>
      </w:pPr>
    </w:p>
    <w:p w14:paraId="61E47A43" w14:textId="77777777" w:rsidR="002E5C5F" w:rsidRPr="002E5C5F" w:rsidRDefault="002E5C5F" w:rsidP="002E5C5F">
      <w:pPr>
        <w:spacing w:after="0" w:line="240" w:lineRule="auto"/>
        <w:jc w:val="both"/>
        <w:rPr>
          <w:rFonts w:ascii="Verdana" w:eastAsia="Calibri" w:hAnsi="Verdana" w:cs="Arial"/>
          <w:sz w:val="20"/>
          <w:lang w:bidi="es-ES"/>
        </w:rPr>
      </w:pPr>
      <w:r w:rsidRPr="002E5C5F">
        <w:rPr>
          <w:rFonts w:ascii="Verdana" w:eastAsia="Times New Roman" w:hAnsi="Verdana" w:cs="Arial"/>
          <w:sz w:val="20"/>
          <w:lang w:val="es-MX" w:eastAsia="x-none"/>
        </w:rPr>
        <w:lastRenderedPageBreak/>
        <w:t xml:space="preserve">Sobre este aspecto, es importante señalar que esta Subdirección, en los conceptos emitidos sobre la aplicación de la Ley de Garantías Electorales, ha defendido y mantenido la postura acerca de que la prohibición señalada en </w:t>
      </w:r>
      <w:r w:rsidRPr="002E5C5F">
        <w:rPr>
          <w:rFonts w:ascii="Verdana" w:eastAsia="Arial" w:hAnsi="Verdana" w:cs="Arial"/>
          <w:sz w:val="20"/>
          <w:lang w:val="es-ES" w:eastAsia="es-ES" w:bidi="es-ES"/>
        </w:rPr>
        <w:t>e</w:t>
      </w:r>
      <w:r w:rsidRPr="002E5C5F">
        <w:rPr>
          <w:rFonts w:ascii="Verdana" w:eastAsia="Calibri" w:hAnsi="Verdana" w:cs="Arial"/>
          <w:sz w:val="20"/>
        </w:rPr>
        <w:t xml:space="preserve">l parágrafo del artículo 38 cobija tanto a los convenios como a los contratos interadministrativos. Esta tesis se fundamenta en que </w:t>
      </w:r>
      <w:r w:rsidRPr="002E5C5F">
        <w:rPr>
          <w:rFonts w:ascii="Verdana" w:eastAsia="Calibri" w:hAnsi="Verdana" w:cs="Arial"/>
          <w:sz w:val="20"/>
          <w:lang w:bidi="es-ES"/>
        </w:rPr>
        <w:t xml:space="preserve">si bien actualmente el Estatuto General de Contratación de la Administración Pública – en adelante EGCAP – se refiere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15334CBC" w14:textId="77777777" w:rsidR="002E5C5F" w:rsidRPr="002E5C5F" w:rsidRDefault="002E5C5F" w:rsidP="002E5C5F">
      <w:pPr>
        <w:spacing w:after="0" w:line="240" w:lineRule="auto"/>
        <w:jc w:val="both"/>
        <w:rPr>
          <w:rFonts w:ascii="Verdana" w:hAnsi="Verdana" w:cs="Arial"/>
          <w:b/>
          <w:lang w:val="es-MX" w:eastAsia="es-ES_tradnl"/>
        </w:rPr>
      </w:pPr>
    </w:p>
    <w:p w14:paraId="6C138D74" w14:textId="77777777" w:rsidR="002E5C5F" w:rsidRPr="002E5C5F" w:rsidRDefault="002E5C5F" w:rsidP="002E5C5F">
      <w:pPr>
        <w:spacing w:after="0" w:line="240" w:lineRule="auto"/>
        <w:jc w:val="both"/>
        <w:rPr>
          <w:rFonts w:ascii="Verdana" w:hAnsi="Verdana" w:cs="Arial"/>
          <w:b/>
          <w:lang w:val="es-MX" w:eastAsia="es-ES_tradnl"/>
        </w:rPr>
      </w:pPr>
      <w:r w:rsidRPr="002E5C5F">
        <w:rPr>
          <w:rFonts w:ascii="Verdana" w:hAnsi="Verdana" w:cs="Arial"/>
          <w:b/>
          <w:lang w:val="es-MX" w:eastAsia="es-ES_tradnl"/>
        </w:rPr>
        <w:t>CONTRATOS Y CONVENIOS INTERADMINISTRATIVOS – Definición – Criterio orgánico</w:t>
      </w:r>
    </w:p>
    <w:p w14:paraId="45268E15" w14:textId="77777777" w:rsidR="002E5C5F" w:rsidRPr="002E5C5F" w:rsidRDefault="002E5C5F" w:rsidP="002E5C5F">
      <w:pPr>
        <w:spacing w:after="0" w:line="240" w:lineRule="auto"/>
        <w:jc w:val="both"/>
        <w:rPr>
          <w:rFonts w:ascii="Verdana" w:hAnsi="Verdana" w:cs="Arial"/>
          <w:b/>
          <w:lang w:val="es-MX" w:eastAsia="es-ES_tradnl"/>
        </w:rPr>
      </w:pPr>
    </w:p>
    <w:p w14:paraId="732587AE" w14:textId="77777777" w:rsidR="002E5C5F" w:rsidRPr="002E5C5F" w:rsidRDefault="002E5C5F" w:rsidP="002E5C5F">
      <w:pPr>
        <w:spacing w:after="0" w:line="240" w:lineRule="auto"/>
        <w:jc w:val="both"/>
        <w:rPr>
          <w:rFonts w:ascii="Verdana" w:hAnsi="Verdana" w:cs="Arial"/>
          <w:b/>
          <w:lang w:val="es-MX" w:eastAsia="es-ES_tradnl"/>
        </w:rPr>
      </w:pPr>
      <w:r w:rsidRPr="002E5C5F">
        <w:rPr>
          <w:rFonts w:ascii="Verdana" w:eastAsia="Calibri" w:hAnsi="Verdana" w:cs="Arial"/>
          <w:sz w:val="20"/>
          <w:lang w:bidi="es-ES"/>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2E5C5F">
        <w:rPr>
          <w:rFonts w:ascii="Verdana" w:eastAsia="Arial" w:hAnsi="Verdana" w:cs="Arial"/>
          <w:sz w:val="20"/>
          <w:lang w:val="es-ES" w:eastAsia="es-ES" w:bidi="es-ES"/>
        </w:rPr>
        <w:t>el legislador y el ordenamiento jurídico, en general, en distintas ocasiones utiliza de forma indistinta los conceptos de contrato o convenio para referirse a la misma institución jurídica. Incluso, la Corte Constitucional fundamenta la posibilidad de celebrar convenios interadministrativos de forma directa, con fundamento en la causal establecida en la Ley 1150 de 2007 respecto a los contratos interadministrativos.</w:t>
      </w:r>
    </w:p>
    <w:p w14:paraId="01D30611" w14:textId="77777777" w:rsidR="002E5C5F" w:rsidRPr="002E5C5F" w:rsidRDefault="002E5C5F" w:rsidP="002E5C5F">
      <w:pPr>
        <w:spacing w:after="0" w:line="240" w:lineRule="auto"/>
        <w:jc w:val="both"/>
        <w:rPr>
          <w:rFonts w:ascii="Verdana" w:eastAsia="Calibri" w:hAnsi="Verdana" w:cs="Arial"/>
          <w:sz w:val="20"/>
          <w:lang w:bidi="es-ES"/>
        </w:rPr>
      </w:pPr>
    </w:p>
    <w:p w14:paraId="179C645D" w14:textId="77777777" w:rsidR="002E5C5F" w:rsidRPr="002E5C5F" w:rsidRDefault="002E5C5F" w:rsidP="002E5C5F">
      <w:pPr>
        <w:spacing w:after="0" w:line="240" w:lineRule="auto"/>
        <w:jc w:val="both"/>
        <w:rPr>
          <w:rFonts w:ascii="Verdana" w:eastAsia="Arial" w:hAnsi="Verdana" w:cs="Arial"/>
          <w:sz w:val="20"/>
          <w:lang w:val="es-ES" w:eastAsia="es-ES" w:bidi="es-ES"/>
        </w:rPr>
      </w:pPr>
      <w:r w:rsidRPr="002E5C5F">
        <w:rPr>
          <w:rFonts w:ascii="Verdana" w:eastAsia="Calibri" w:hAnsi="Verdana" w:cs="Arial"/>
          <w:sz w:val="20"/>
          <w:lang w:val="es-ES" w:bidi="es-ES"/>
        </w:rPr>
        <w:t>De este modo, en la Circular Externa</w:t>
      </w:r>
      <w:r w:rsidRPr="002E5C5F">
        <w:rPr>
          <w:rFonts w:ascii="Verdana" w:eastAsia="Arial" w:hAnsi="Verdana" w:cs="Arial"/>
          <w:sz w:val="20"/>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w:t>
      </w:r>
    </w:p>
    <w:p w14:paraId="65C30160" w14:textId="77777777" w:rsidR="002E5C5F" w:rsidRPr="002E5C5F" w:rsidRDefault="002E5C5F" w:rsidP="002E5C5F">
      <w:pPr>
        <w:spacing w:after="0"/>
        <w:rPr>
          <w:rFonts w:ascii="Verdana" w:hAnsi="Verdana"/>
        </w:rPr>
      </w:pPr>
    </w:p>
    <w:p w14:paraId="0518BC8F" w14:textId="77777777" w:rsidR="002E5C5F" w:rsidRPr="002E5C5F" w:rsidRDefault="002E5C5F" w:rsidP="002E5C5F">
      <w:pPr>
        <w:spacing w:after="0"/>
        <w:jc w:val="both"/>
        <w:rPr>
          <w:rFonts w:ascii="Verdana" w:hAnsi="Verdana"/>
          <w:b/>
        </w:rPr>
      </w:pPr>
      <w:r w:rsidRPr="002E5C5F">
        <w:rPr>
          <w:rFonts w:ascii="Verdana" w:hAnsi="Verdana" w:cs="Arial"/>
          <w:b/>
          <w:lang w:val="es-MX" w:eastAsia="es-ES_tradnl"/>
        </w:rPr>
        <w:t>CONTRATOS Y CONVENIOS INTERADMINISTRATIVOS – Circular Externa Única – Auto de suspensión –numeral 16.2.</w:t>
      </w:r>
    </w:p>
    <w:p w14:paraId="21067705" w14:textId="77777777" w:rsidR="002E5C5F" w:rsidRPr="002E5C5F" w:rsidRDefault="002E5C5F" w:rsidP="002E5C5F">
      <w:pPr>
        <w:spacing w:after="0"/>
        <w:jc w:val="both"/>
        <w:rPr>
          <w:rFonts w:ascii="Verdana" w:hAnsi="Verdana"/>
          <w:b/>
        </w:rPr>
      </w:pPr>
    </w:p>
    <w:p w14:paraId="1010AFB8" w14:textId="77777777" w:rsidR="002E5C5F" w:rsidRPr="002E5C5F" w:rsidRDefault="002E5C5F" w:rsidP="002E5C5F">
      <w:pPr>
        <w:spacing w:after="0" w:line="240" w:lineRule="auto"/>
        <w:jc w:val="both"/>
        <w:rPr>
          <w:rFonts w:ascii="Verdana" w:hAnsi="Verdana"/>
          <w:sz w:val="18"/>
          <w:szCs w:val="20"/>
        </w:rPr>
      </w:pPr>
      <w:r w:rsidRPr="002E5C5F">
        <w:rPr>
          <w:rFonts w:ascii="Verdana" w:eastAsia="Arial" w:hAnsi="Verdana" w:cs="Arial"/>
          <w:sz w:val="20"/>
          <w:lang w:val="es-MX" w:eastAsia="es-ES" w:bidi="es-ES"/>
        </w:rPr>
        <w:t xml:space="preserve">[…] conviene señalar que, mediante auto de 4 de octubre del 2024, el Consejo de Estado, Sección Tercera, decretó medida de suspensión provisional parcial del </w:t>
      </w:r>
      <w:r w:rsidRPr="002E5C5F">
        <w:rPr>
          <w:rFonts w:ascii="Verdana" w:hAnsi="Verdana"/>
          <w:sz w:val="20"/>
        </w:rPr>
        <w:t>numeral 16.2 de la Circular Externa Única de 2022 expedida por la Agencia Nacional de Contratación Pública -Colombia Compra Eficiente-, concretamente, respecto de los siguientes apartes normativos</w:t>
      </w:r>
      <w:r w:rsidRPr="002E5C5F">
        <w:rPr>
          <w:rFonts w:ascii="Verdana" w:hAnsi="Verdana"/>
          <w:sz w:val="18"/>
          <w:szCs w:val="20"/>
        </w:rPr>
        <w:t xml:space="preserve"> </w:t>
      </w:r>
    </w:p>
    <w:p w14:paraId="6B31E275" w14:textId="77777777" w:rsidR="002E5C5F" w:rsidRPr="002E5C5F" w:rsidRDefault="002E5C5F" w:rsidP="002E5C5F">
      <w:pPr>
        <w:spacing w:after="0" w:line="240" w:lineRule="auto"/>
        <w:ind w:left="709" w:right="709"/>
        <w:jc w:val="both"/>
        <w:rPr>
          <w:rFonts w:ascii="Verdana" w:hAnsi="Verdana"/>
          <w:sz w:val="20"/>
        </w:rPr>
      </w:pPr>
    </w:p>
    <w:p w14:paraId="73C9A0AE" w14:textId="77777777" w:rsidR="002E5C5F" w:rsidRPr="002E5C5F" w:rsidRDefault="002E5C5F" w:rsidP="002E5C5F">
      <w:pPr>
        <w:spacing w:after="0" w:line="240" w:lineRule="auto"/>
        <w:jc w:val="both"/>
        <w:rPr>
          <w:rFonts w:ascii="Verdana" w:eastAsia="Arial" w:hAnsi="Verdana" w:cs="Arial"/>
          <w:i/>
          <w:iCs/>
          <w:sz w:val="20"/>
          <w:lang w:eastAsia="es-ES" w:bidi="es-ES"/>
        </w:rPr>
      </w:pPr>
      <w:r w:rsidRPr="002E5C5F">
        <w:rPr>
          <w:rFonts w:ascii="Verdana" w:eastAsia="Arial" w:hAnsi="Verdana" w:cs="Arial"/>
          <w:sz w:val="20"/>
          <w:lang w:val="es-MX" w:eastAsia="es-ES" w:bidi="es-ES"/>
        </w:rPr>
        <w:t xml:space="preserve">De conformidad con los argumentos de dicha providencia, se parte de la distinción entre los conceptos </w:t>
      </w:r>
      <w:r w:rsidRPr="002E5C5F">
        <w:rPr>
          <w:rFonts w:ascii="Verdana" w:eastAsia="Arial" w:hAnsi="Verdana" w:cs="Arial"/>
          <w:sz w:val="20"/>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2E5C5F">
        <w:rPr>
          <w:rFonts w:ascii="Verdana" w:eastAsia="Arial" w:hAnsi="Verdana" w:cs="Arial"/>
          <w:i/>
          <w:iCs/>
          <w:sz w:val="20"/>
          <w:lang w:eastAsia="es-ES" w:bidi="es-ES"/>
        </w:rPr>
        <w:t xml:space="preserve">“si el </w:t>
      </w:r>
      <w:r w:rsidRPr="002E5C5F">
        <w:rPr>
          <w:rFonts w:ascii="Verdana" w:eastAsia="Arial" w:hAnsi="Verdana" w:cs="Arial"/>
          <w:i/>
          <w:iCs/>
          <w:sz w:val="20"/>
          <w:lang w:eastAsia="es-ES" w:bidi="es-ES"/>
        </w:rPr>
        <w:lastRenderedPageBreak/>
        <w:t xml:space="preserve">legislador no diferenció al establecer la prohibición o la restricción, mal haría el reglamento en aplicar un efecto expansivo o extensivo para incluir una categoría no cobijada con la limitación, (…)”. </w:t>
      </w:r>
      <w:r w:rsidRPr="002E5C5F">
        <w:rPr>
          <w:rFonts w:ascii="Verdana" w:eastAsia="Arial" w:hAnsi="Verdana" w:cs="Arial"/>
          <w:sz w:val="20"/>
          <w:lang w:eastAsia="es-ES" w:bidi="es-ES"/>
        </w:rPr>
        <w:t xml:space="preserve">Por tal motivo, para efectos de decretar la medida de suspensión provisional de los apartes señalados del numeral 16.2 de la Circular Externa Única, argumentó que </w:t>
      </w:r>
      <w:r w:rsidRPr="002E5C5F">
        <w:rPr>
          <w:rFonts w:ascii="Verdana" w:eastAsia="Arial" w:hAnsi="Verdana" w:cs="Arial"/>
          <w:i/>
          <w:iCs/>
          <w:sz w:val="20"/>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19262EEC" w14:textId="77777777" w:rsidR="002E5C5F" w:rsidRPr="002E5C5F" w:rsidRDefault="002E5C5F" w:rsidP="002E5C5F">
      <w:pPr>
        <w:spacing w:after="0" w:line="240" w:lineRule="auto"/>
        <w:jc w:val="both"/>
        <w:rPr>
          <w:rFonts w:ascii="Verdana" w:eastAsia="Arial" w:hAnsi="Verdana" w:cs="Arial"/>
          <w:i/>
          <w:iCs/>
          <w:sz w:val="20"/>
          <w:lang w:val="es-MX" w:eastAsia="es-ES" w:bidi="es-ES"/>
        </w:rPr>
      </w:pPr>
    </w:p>
    <w:p w14:paraId="68E2C303" w14:textId="77777777" w:rsidR="002E5C5F" w:rsidRPr="002E5C5F" w:rsidRDefault="002E5C5F" w:rsidP="002E5C5F">
      <w:pPr>
        <w:spacing w:after="0" w:line="240" w:lineRule="auto"/>
        <w:jc w:val="both"/>
        <w:rPr>
          <w:rFonts w:ascii="Verdana" w:eastAsia="Calibri" w:hAnsi="Verdana" w:cs="Arial"/>
          <w:sz w:val="20"/>
          <w:lang w:val="es-MX"/>
        </w:rPr>
      </w:pPr>
      <w:r w:rsidRPr="002E5C5F">
        <w:rPr>
          <w:rFonts w:ascii="Verdana" w:eastAsia="Arial" w:hAnsi="Verdana" w:cs="Arial"/>
          <w:sz w:val="20"/>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2E5C5F">
        <w:rPr>
          <w:rFonts w:ascii="Verdana" w:eastAsia="Arial" w:hAnsi="Verdana" w:cs="Arial"/>
          <w:sz w:val="20"/>
          <w:lang w:eastAsia="es-ES" w:bidi="es-ES"/>
        </w:rPr>
        <w:t>16.2 de la Circular Externa Única</w:t>
      </w:r>
      <w:r w:rsidRPr="002E5C5F">
        <w:rPr>
          <w:rFonts w:ascii="Verdana" w:eastAsia="Arial" w:hAnsi="Verdana" w:cs="Arial"/>
          <w:sz w:val="20"/>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2E5C5F">
        <w:rPr>
          <w:rFonts w:ascii="Verdana" w:eastAsia="Times New Roman" w:hAnsi="Verdana" w:cs="Arial"/>
          <w:sz w:val="20"/>
          <w:lang w:val="es-MX" w:eastAsia="es-CO"/>
        </w:rPr>
        <w:t xml:space="preserve">evitar cualquier tipo de arbitrariedad, de ventaja injustificada, de uso irregular de los recursos del Estado en las campañas políticas, o que </w:t>
      </w:r>
      <w:r w:rsidRPr="002E5C5F">
        <w:rPr>
          <w:rFonts w:ascii="Verdana" w:eastAsia="Calibri" w:hAnsi="Verdana" w:cs="Arial"/>
          <w:sz w:val="20"/>
          <w:lang w:val="es-MX"/>
        </w:rPr>
        <w:t xml:space="preserve">los recursos del Estado se ejecuten para lograr apoyos indebidos mediante la suscripción de contratos y/o convenios, que para efectos de la Ley de Garantías tienen la misma connotación y propósitos. </w:t>
      </w:r>
    </w:p>
    <w:p w14:paraId="39CBC843" w14:textId="77777777" w:rsidR="002E5C5F" w:rsidRDefault="002E5C5F" w:rsidP="00225C61">
      <w:pPr>
        <w:spacing w:after="0"/>
        <w:rPr>
          <w:rFonts w:ascii="Verdana" w:hAnsi="Verdana"/>
          <w:lang w:val="es-MX"/>
        </w:rPr>
      </w:pPr>
    </w:p>
    <w:p w14:paraId="5733C609" w14:textId="77777777" w:rsidR="002E5C5F" w:rsidRDefault="002E5C5F" w:rsidP="00225C61">
      <w:pPr>
        <w:spacing w:after="0"/>
        <w:rPr>
          <w:rFonts w:ascii="Verdana" w:hAnsi="Verdana"/>
          <w:lang w:val="es-MX"/>
        </w:rPr>
      </w:pPr>
    </w:p>
    <w:p w14:paraId="5922B0F2" w14:textId="77777777" w:rsidR="002E5C5F" w:rsidRDefault="002E5C5F" w:rsidP="00225C61">
      <w:pPr>
        <w:spacing w:after="0"/>
        <w:rPr>
          <w:rFonts w:ascii="Verdana" w:hAnsi="Verdana"/>
          <w:lang w:val="es-MX"/>
        </w:rPr>
      </w:pPr>
    </w:p>
    <w:p w14:paraId="6A8957B5" w14:textId="77777777" w:rsidR="002E5C5F" w:rsidRDefault="002E5C5F" w:rsidP="00225C61">
      <w:pPr>
        <w:spacing w:after="0"/>
        <w:rPr>
          <w:rFonts w:ascii="Verdana" w:hAnsi="Verdana"/>
          <w:lang w:val="es-MX"/>
        </w:rPr>
      </w:pPr>
    </w:p>
    <w:p w14:paraId="5973BE2B" w14:textId="77777777" w:rsidR="002E5C5F" w:rsidRDefault="002E5C5F" w:rsidP="00225C61">
      <w:pPr>
        <w:spacing w:after="0"/>
        <w:rPr>
          <w:rFonts w:ascii="Verdana" w:hAnsi="Verdana"/>
          <w:lang w:val="es-MX"/>
        </w:rPr>
      </w:pPr>
    </w:p>
    <w:p w14:paraId="0ADF33F4" w14:textId="77777777" w:rsidR="002E5C5F" w:rsidRDefault="002E5C5F" w:rsidP="00225C61">
      <w:pPr>
        <w:spacing w:after="0"/>
        <w:rPr>
          <w:rFonts w:ascii="Verdana" w:hAnsi="Verdana"/>
          <w:lang w:val="es-MX"/>
        </w:rPr>
      </w:pPr>
    </w:p>
    <w:p w14:paraId="729F7D09" w14:textId="77777777" w:rsidR="002E5C5F" w:rsidRDefault="002E5C5F" w:rsidP="00225C61">
      <w:pPr>
        <w:spacing w:after="0"/>
        <w:rPr>
          <w:rFonts w:ascii="Verdana" w:hAnsi="Verdana"/>
          <w:lang w:val="es-MX"/>
        </w:rPr>
      </w:pPr>
    </w:p>
    <w:p w14:paraId="5F7B9DB5" w14:textId="77777777" w:rsidR="002E5C5F" w:rsidRDefault="002E5C5F" w:rsidP="00225C61">
      <w:pPr>
        <w:spacing w:after="0"/>
        <w:rPr>
          <w:rFonts w:ascii="Verdana" w:hAnsi="Verdana"/>
          <w:lang w:val="es-MX"/>
        </w:rPr>
      </w:pPr>
    </w:p>
    <w:p w14:paraId="5C3E1DD2" w14:textId="77777777" w:rsidR="002E5C5F" w:rsidRDefault="002E5C5F" w:rsidP="00225C61">
      <w:pPr>
        <w:spacing w:after="0"/>
        <w:rPr>
          <w:rFonts w:ascii="Verdana" w:hAnsi="Verdana"/>
          <w:lang w:val="es-MX"/>
        </w:rPr>
      </w:pPr>
    </w:p>
    <w:p w14:paraId="2F4AE97F" w14:textId="77777777" w:rsidR="002E5C5F" w:rsidRDefault="002E5C5F" w:rsidP="00225C61">
      <w:pPr>
        <w:spacing w:after="0"/>
        <w:rPr>
          <w:rFonts w:ascii="Verdana" w:hAnsi="Verdana"/>
          <w:lang w:val="es-MX"/>
        </w:rPr>
      </w:pPr>
    </w:p>
    <w:p w14:paraId="422086C2" w14:textId="77777777" w:rsidR="002E5C5F" w:rsidRDefault="002E5C5F" w:rsidP="00225C61">
      <w:pPr>
        <w:spacing w:after="0"/>
        <w:rPr>
          <w:rFonts w:ascii="Verdana" w:hAnsi="Verdana"/>
          <w:lang w:val="es-MX"/>
        </w:rPr>
      </w:pPr>
    </w:p>
    <w:p w14:paraId="374A3F1B" w14:textId="77777777" w:rsidR="002E5C5F" w:rsidRDefault="002E5C5F" w:rsidP="00225C61">
      <w:pPr>
        <w:spacing w:after="0"/>
        <w:rPr>
          <w:rFonts w:ascii="Verdana" w:hAnsi="Verdana"/>
          <w:lang w:val="es-MX"/>
        </w:rPr>
      </w:pPr>
    </w:p>
    <w:p w14:paraId="47492C6F" w14:textId="77777777" w:rsidR="002E5C5F" w:rsidRDefault="002E5C5F" w:rsidP="00225C61">
      <w:pPr>
        <w:spacing w:after="0"/>
        <w:rPr>
          <w:rFonts w:ascii="Verdana" w:hAnsi="Verdana"/>
          <w:lang w:val="es-MX"/>
        </w:rPr>
      </w:pPr>
    </w:p>
    <w:p w14:paraId="55005026" w14:textId="77777777" w:rsidR="002E5C5F" w:rsidRDefault="002E5C5F" w:rsidP="00225C61">
      <w:pPr>
        <w:spacing w:after="0"/>
        <w:rPr>
          <w:rFonts w:ascii="Verdana" w:hAnsi="Verdana"/>
          <w:lang w:val="es-MX"/>
        </w:rPr>
      </w:pPr>
    </w:p>
    <w:p w14:paraId="6CC758A8" w14:textId="77777777" w:rsidR="002E5C5F" w:rsidRDefault="002E5C5F" w:rsidP="00225C61">
      <w:pPr>
        <w:spacing w:after="0"/>
        <w:rPr>
          <w:rFonts w:ascii="Verdana" w:hAnsi="Verdana"/>
          <w:lang w:val="es-MX"/>
        </w:rPr>
      </w:pPr>
    </w:p>
    <w:p w14:paraId="7C25FCF4" w14:textId="77777777" w:rsidR="002E5C5F" w:rsidRDefault="002E5C5F" w:rsidP="00225C61">
      <w:pPr>
        <w:spacing w:after="0"/>
        <w:rPr>
          <w:rFonts w:ascii="Verdana" w:hAnsi="Verdana"/>
          <w:lang w:val="es-MX"/>
        </w:rPr>
      </w:pPr>
    </w:p>
    <w:p w14:paraId="34EF5AE5" w14:textId="77777777" w:rsidR="002E5C5F" w:rsidRDefault="002E5C5F" w:rsidP="00225C61">
      <w:pPr>
        <w:spacing w:after="0"/>
        <w:rPr>
          <w:rFonts w:ascii="Verdana" w:hAnsi="Verdana"/>
          <w:lang w:val="es-MX"/>
        </w:rPr>
      </w:pPr>
    </w:p>
    <w:p w14:paraId="095D88D3" w14:textId="77777777" w:rsidR="002E5C5F" w:rsidRDefault="002E5C5F" w:rsidP="00225C61">
      <w:pPr>
        <w:spacing w:after="0"/>
        <w:rPr>
          <w:rFonts w:ascii="Verdana" w:hAnsi="Verdana"/>
          <w:lang w:val="es-MX"/>
        </w:rPr>
      </w:pPr>
    </w:p>
    <w:p w14:paraId="370801EE" w14:textId="77777777" w:rsidR="002E5C5F" w:rsidRDefault="002E5C5F" w:rsidP="00225C61">
      <w:pPr>
        <w:spacing w:after="0"/>
        <w:rPr>
          <w:rFonts w:ascii="Verdana" w:hAnsi="Verdana"/>
          <w:lang w:val="es-MX"/>
        </w:rPr>
      </w:pPr>
    </w:p>
    <w:p w14:paraId="1ABFD212" w14:textId="77777777" w:rsidR="002E5C5F" w:rsidRDefault="002E5C5F" w:rsidP="00225C61">
      <w:pPr>
        <w:spacing w:after="0"/>
        <w:rPr>
          <w:rFonts w:ascii="Verdana" w:hAnsi="Verdana"/>
          <w:lang w:val="es-MX"/>
        </w:rPr>
      </w:pPr>
    </w:p>
    <w:p w14:paraId="6C94AAAC" w14:textId="77777777" w:rsidR="002E5C5F" w:rsidRDefault="002E5C5F" w:rsidP="00225C61">
      <w:pPr>
        <w:spacing w:after="0"/>
        <w:rPr>
          <w:rFonts w:ascii="Verdana" w:hAnsi="Verdana"/>
          <w:lang w:val="es-MX"/>
        </w:rPr>
      </w:pPr>
    </w:p>
    <w:p w14:paraId="01A11E4E" w14:textId="77777777" w:rsidR="002E5C5F" w:rsidRDefault="002E5C5F" w:rsidP="00225C61">
      <w:pPr>
        <w:spacing w:after="0"/>
        <w:rPr>
          <w:rFonts w:ascii="Verdana" w:hAnsi="Verdana"/>
          <w:lang w:val="es-MX"/>
        </w:rPr>
      </w:pPr>
    </w:p>
    <w:p w14:paraId="5FF88641" w14:textId="77777777" w:rsidR="002E5C5F" w:rsidRDefault="002E5C5F" w:rsidP="00225C61">
      <w:pPr>
        <w:spacing w:after="0"/>
        <w:rPr>
          <w:rFonts w:ascii="Verdana" w:hAnsi="Verdana"/>
          <w:lang w:val="es-MX"/>
        </w:rPr>
      </w:pPr>
    </w:p>
    <w:p w14:paraId="4D760BC0" w14:textId="125B9F3C" w:rsidR="00225C61" w:rsidRPr="002E5C5F" w:rsidRDefault="00225C61" w:rsidP="00225C61">
      <w:pPr>
        <w:spacing w:after="0"/>
        <w:rPr>
          <w:rFonts w:ascii="Verdana" w:hAnsi="Verdana"/>
        </w:rPr>
      </w:pPr>
      <w:r w:rsidRPr="0044528D">
        <w:rPr>
          <w:rFonts w:ascii="Verdana" w:hAnsi="Verdana"/>
        </w:rPr>
        <w:lastRenderedPageBreak/>
        <w:t xml:space="preserve">Bogotá D.C., </w:t>
      </w:r>
      <w:r w:rsidR="002E5C5F">
        <w:rPr>
          <w:rFonts w:ascii="Verdana" w:hAnsi="Verdana"/>
        </w:rPr>
        <w:t>28 de agosto de 2025</w:t>
      </w:r>
    </w:p>
    <w:p w14:paraId="44AD9659" w14:textId="77E88BCE" w:rsidR="00225C61" w:rsidRPr="00A328F2" w:rsidRDefault="002E5C5F" w:rsidP="00225C61">
      <w:pPr>
        <w:spacing w:after="0"/>
        <w:rPr>
          <w:rFonts w:ascii="Verdana" w:hAnsi="Verdana"/>
        </w:rPr>
      </w:pPr>
      <w:r w:rsidRPr="002E5C5F">
        <w:rPr>
          <w:rFonts w:ascii="Verdana" w:hAnsi="Verdana"/>
          <w:noProof/>
          <w:lang w:val="en-US"/>
        </w:rPr>
        <w:drawing>
          <wp:anchor distT="0" distB="0" distL="114300" distR="114300" simplePos="0" relativeHeight="251658240" behindDoc="0" locked="0" layoutInCell="1" allowOverlap="1" wp14:anchorId="0CC74A59" wp14:editId="05566E44">
            <wp:simplePos x="0" y="0"/>
            <wp:positionH relativeFrom="margin">
              <wp:posOffset>2769870</wp:posOffset>
            </wp:positionH>
            <wp:positionV relativeFrom="paragraph">
              <wp:posOffset>8255</wp:posOffset>
            </wp:positionV>
            <wp:extent cx="2823210" cy="7715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3210" cy="771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6DA6C1" w14:textId="77777777" w:rsidR="00225C61" w:rsidRPr="00A328F2" w:rsidRDefault="00225C61" w:rsidP="00225C61">
      <w:pPr>
        <w:spacing w:after="0"/>
        <w:rPr>
          <w:rFonts w:ascii="Verdana" w:hAnsi="Verdana"/>
        </w:rPr>
      </w:pPr>
    </w:p>
    <w:p w14:paraId="53A30C75" w14:textId="77777777" w:rsidR="00225C61" w:rsidRPr="00A328F2" w:rsidRDefault="00225C61" w:rsidP="00225C61">
      <w:pPr>
        <w:spacing w:after="0" w:line="240" w:lineRule="auto"/>
        <w:rPr>
          <w:rFonts w:ascii="Verdana" w:eastAsia="Calibri" w:hAnsi="Verdana" w:cs="Times New Roman"/>
          <w:lang w:val="es-MX"/>
        </w:rPr>
      </w:pPr>
      <w:r w:rsidRPr="00A328F2">
        <w:rPr>
          <w:rFonts w:ascii="Verdana" w:eastAsia="Calibri" w:hAnsi="Verdana" w:cs="Times New Roman"/>
          <w:lang w:val="es-MX"/>
        </w:rPr>
        <w:t>Señora</w:t>
      </w:r>
    </w:p>
    <w:p w14:paraId="3121D63F" w14:textId="77777777" w:rsidR="00225C61" w:rsidRPr="00A328F2" w:rsidRDefault="00225C61" w:rsidP="00225C61">
      <w:pPr>
        <w:spacing w:after="0" w:line="240" w:lineRule="auto"/>
        <w:rPr>
          <w:rFonts w:ascii="Verdana" w:eastAsia="Calibri" w:hAnsi="Verdana" w:cs="Times New Roman"/>
          <w:b/>
          <w:lang w:val="es-MX"/>
        </w:rPr>
      </w:pPr>
      <w:proofErr w:type="spellStart"/>
      <w:r w:rsidRPr="00A328F2">
        <w:rPr>
          <w:rFonts w:ascii="Verdana" w:eastAsia="Calibri" w:hAnsi="Verdana" w:cs="Times New Roman"/>
          <w:b/>
          <w:lang w:val="es-MX"/>
        </w:rPr>
        <w:t>Jadel</w:t>
      </w:r>
      <w:proofErr w:type="spellEnd"/>
      <w:r w:rsidRPr="00A328F2">
        <w:rPr>
          <w:rFonts w:ascii="Verdana" w:eastAsia="Calibri" w:hAnsi="Verdana" w:cs="Times New Roman"/>
          <w:b/>
          <w:lang w:val="es-MX"/>
        </w:rPr>
        <w:t xml:space="preserve"> Fuentes </w:t>
      </w:r>
    </w:p>
    <w:p w14:paraId="7A24FE62" w14:textId="77777777" w:rsidR="00225C61" w:rsidRPr="00A328F2" w:rsidRDefault="00225C61" w:rsidP="00225C61">
      <w:pPr>
        <w:spacing w:after="0" w:line="240" w:lineRule="auto"/>
        <w:rPr>
          <w:rFonts w:ascii="Verdana" w:hAnsi="Verdana"/>
        </w:rPr>
      </w:pPr>
      <w:hyperlink r:id="rId12" w:history="1">
        <w:r w:rsidRPr="00A328F2">
          <w:rPr>
            <w:rStyle w:val="Hipervnculo"/>
            <w:rFonts w:ascii="Verdana" w:hAnsi="Verdana"/>
          </w:rPr>
          <w:t>jadelfuentes@gmail.com</w:t>
        </w:r>
      </w:hyperlink>
      <w:r w:rsidRPr="00A328F2">
        <w:rPr>
          <w:rFonts w:ascii="Verdana" w:hAnsi="Verdana"/>
        </w:rPr>
        <w:t xml:space="preserve"> </w:t>
      </w:r>
    </w:p>
    <w:p w14:paraId="783FEB16" w14:textId="77777777" w:rsidR="00225C61" w:rsidRPr="00A328F2" w:rsidRDefault="00225C61" w:rsidP="00225C61">
      <w:pPr>
        <w:spacing w:after="0" w:line="240" w:lineRule="auto"/>
        <w:rPr>
          <w:rFonts w:ascii="Verdana" w:eastAsia="Calibri" w:hAnsi="Verdana" w:cs="Times New Roman"/>
        </w:rPr>
      </w:pPr>
      <w:r w:rsidRPr="00A328F2">
        <w:rPr>
          <w:rFonts w:ascii="Verdana" w:eastAsia="Calibri" w:hAnsi="Verdana" w:cs="Times New Roman"/>
        </w:rPr>
        <w:t>Altos del Rosario-Bolívar</w:t>
      </w:r>
    </w:p>
    <w:p w14:paraId="472AA400" w14:textId="77777777" w:rsidR="00225C61" w:rsidRPr="00A328F2" w:rsidRDefault="00225C61" w:rsidP="00225C61">
      <w:pPr>
        <w:spacing w:after="0" w:line="256" w:lineRule="auto"/>
        <w:rPr>
          <w:rFonts w:ascii="Verdana" w:eastAsia="Calibri" w:hAnsi="Verdana" w:cs="Times New Roman"/>
        </w:rPr>
      </w:pPr>
    </w:p>
    <w:p w14:paraId="49E27B53" w14:textId="77777777" w:rsidR="00225C61" w:rsidRPr="00A328F2" w:rsidRDefault="00225C61" w:rsidP="00225C61">
      <w:pPr>
        <w:spacing w:after="0" w:line="256" w:lineRule="auto"/>
        <w:rPr>
          <w:rFonts w:ascii="Verdana" w:eastAsia="Calibri" w:hAnsi="Verdana" w:cs="Times New Roman"/>
        </w:rPr>
      </w:pPr>
    </w:p>
    <w:p w14:paraId="10A20B80" w14:textId="77777777" w:rsidR="00225C61" w:rsidRPr="00A328F2" w:rsidRDefault="00225C61" w:rsidP="00225C61">
      <w:pPr>
        <w:spacing w:after="0" w:line="256" w:lineRule="auto"/>
        <w:rPr>
          <w:rFonts w:ascii="Verdana" w:eastAsia="Calibri" w:hAnsi="Verdana" w:cs="Times New Roman"/>
          <w:b/>
          <w:bCs/>
          <w:lang w:val="es-ES"/>
        </w:rPr>
      </w:pPr>
      <w:r w:rsidRPr="00A328F2">
        <w:rPr>
          <w:rFonts w:ascii="Verdana" w:eastAsia="Calibri" w:hAnsi="Verdana" w:cs="Times New Roman"/>
          <w:b/>
          <w:bCs/>
          <w:lang w:val="es-ES"/>
        </w:rPr>
        <w:t xml:space="preserve">                                    Concepto C–998 de 2025</w:t>
      </w:r>
    </w:p>
    <w:p w14:paraId="339FFA01" w14:textId="77777777" w:rsidR="00225C61" w:rsidRPr="00A328F2" w:rsidRDefault="00225C61" w:rsidP="00225C61">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25C61" w:rsidRPr="00A328F2" w14:paraId="4B788E0B" w14:textId="77777777" w:rsidTr="006270D8">
        <w:trPr>
          <w:trHeight w:val="645"/>
        </w:trPr>
        <w:tc>
          <w:tcPr>
            <w:tcW w:w="2685" w:type="dxa"/>
            <w:hideMark/>
          </w:tcPr>
          <w:p w14:paraId="1B46BD4D" w14:textId="77777777" w:rsidR="00225C61" w:rsidRPr="00A328F2" w:rsidRDefault="00225C61" w:rsidP="006270D8">
            <w:pPr>
              <w:spacing w:line="256" w:lineRule="auto"/>
              <w:rPr>
                <w:rFonts w:ascii="Verdana" w:hAnsi="Verdana"/>
                <w:b/>
                <w:bCs/>
                <w:lang w:val="es-ES_tradnl"/>
              </w:rPr>
            </w:pPr>
            <w:r w:rsidRPr="00A328F2">
              <w:rPr>
                <w:rFonts w:ascii="Verdana" w:hAnsi="Verdana"/>
                <w:b/>
                <w:bCs/>
                <w:lang w:val="es-ES_tradnl"/>
              </w:rPr>
              <w:t xml:space="preserve">Temas:                   </w:t>
            </w:r>
          </w:p>
        </w:tc>
        <w:tc>
          <w:tcPr>
            <w:tcW w:w="6241" w:type="dxa"/>
            <w:hideMark/>
          </w:tcPr>
          <w:p w14:paraId="03D8EAA6" w14:textId="77777777" w:rsidR="00225C61" w:rsidRPr="00A328F2" w:rsidRDefault="00225C61" w:rsidP="006270D8">
            <w:pPr>
              <w:spacing w:line="276" w:lineRule="auto"/>
              <w:jc w:val="both"/>
              <w:rPr>
                <w:rFonts w:ascii="Verdana" w:hAnsi="Verdana" w:cs="Arial"/>
                <w:lang w:val="es-ES" w:eastAsia="es-ES"/>
              </w:rPr>
            </w:pPr>
            <w:r w:rsidRPr="00A328F2">
              <w:rPr>
                <w:rFonts w:ascii="Verdana" w:hAnsi="Verdana" w:cs="Arial"/>
                <w:lang w:val="es-MX" w:eastAsia="es-ES_tradnl"/>
              </w:rPr>
              <w:t xml:space="preserve">LEY DE GARANTÍAS ELECTORALES </w:t>
            </w:r>
            <w:r w:rsidRPr="00A328F2">
              <w:rPr>
                <w:rFonts w:ascii="Verdana" w:hAnsi="Verdana" w:cs="Arial"/>
                <w:bCs/>
                <w:lang w:val="es-MX" w:eastAsia="es-ES_tradnl"/>
              </w:rPr>
              <w:t>‒</w:t>
            </w:r>
            <w:r w:rsidRPr="00A328F2">
              <w:rPr>
                <w:rFonts w:ascii="Verdana" w:hAnsi="Verdana" w:cs="Arial"/>
                <w:lang w:val="es-MX" w:eastAsia="es-ES_tradnl"/>
              </w:rPr>
              <w:t xml:space="preserve"> Finalidad / LEY DE GARANTÍAS ELECTORALES </w:t>
            </w:r>
            <w:r w:rsidRPr="00A328F2">
              <w:rPr>
                <w:rFonts w:ascii="Verdana" w:hAnsi="Verdana" w:cs="Arial"/>
                <w:bCs/>
                <w:lang w:val="es-MX" w:eastAsia="es-ES_tradnl"/>
              </w:rPr>
              <w:t>‒</w:t>
            </w:r>
            <w:r w:rsidRPr="00A328F2">
              <w:rPr>
                <w:rFonts w:ascii="Verdana" w:hAnsi="Verdana" w:cs="Arial"/>
                <w:lang w:val="es-MX" w:eastAsia="es-ES_tradnl"/>
              </w:rPr>
              <w:t xml:space="preserve"> Tipos de restricciones </w:t>
            </w:r>
            <w:r w:rsidRPr="00A328F2">
              <w:rPr>
                <w:rFonts w:ascii="Verdana" w:hAnsi="Verdana" w:cs="Arial"/>
                <w:bCs/>
                <w:lang w:val="es-MX" w:eastAsia="es-ES_tradnl"/>
              </w:rPr>
              <w:t>‒</w:t>
            </w:r>
            <w:r w:rsidRPr="00A328F2">
              <w:rPr>
                <w:rFonts w:ascii="Verdana" w:hAnsi="Verdana" w:cs="Arial"/>
                <w:lang w:val="es-MX" w:eastAsia="es-ES_tradnl"/>
              </w:rPr>
              <w:t xml:space="preserve"> Ámbito temporal – celebración- límite / LEY DE GARANTÍAS ELECTORALES – Contratos y convenios interadministrativos – Criterio orgánico / CONTRATOS Y CONVENIOS INTERADMINISTRATIVOS – Definición – Criterio orgánico / CONTRATOS Y CONVENIOS INTERADMINISTRATIVOS – Circular Externa Única – Auto de suspensión –numeral 16.2. </w:t>
            </w:r>
          </w:p>
        </w:tc>
        <w:tc>
          <w:tcPr>
            <w:tcW w:w="6237" w:type="dxa"/>
          </w:tcPr>
          <w:p w14:paraId="33AE9435" w14:textId="77777777" w:rsidR="00225C61" w:rsidRPr="00A328F2" w:rsidRDefault="00225C61" w:rsidP="006270D8">
            <w:pPr>
              <w:spacing w:line="256" w:lineRule="auto"/>
              <w:rPr>
                <w:rFonts w:ascii="Verdana" w:hAnsi="Verdana"/>
              </w:rPr>
            </w:pPr>
          </w:p>
        </w:tc>
      </w:tr>
      <w:tr w:rsidR="00225C61" w:rsidRPr="00A328F2" w14:paraId="720A04E4" w14:textId="77777777" w:rsidTr="006270D8">
        <w:tc>
          <w:tcPr>
            <w:tcW w:w="2685" w:type="dxa"/>
          </w:tcPr>
          <w:p w14:paraId="6AEE1F33" w14:textId="77777777" w:rsidR="00225C61" w:rsidRPr="00A328F2" w:rsidRDefault="00225C61" w:rsidP="006270D8">
            <w:pPr>
              <w:spacing w:line="256" w:lineRule="auto"/>
              <w:rPr>
                <w:rFonts w:ascii="Verdana" w:hAnsi="Verdana"/>
                <w:b/>
                <w:bCs/>
                <w:lang w:val="es-ES_tradnl"/>
              </w:rPr>
            </w:pPr>
          </w:p>
          <w:p w14:paraId="4C2FD43F" w14:textId="77777777" w:rsidR="00225C61" w:rsidRPr="00A328F2" w:rsidRDefault="00225C61" w:rsidP="006270D8">
            <w:pPr>
              <w:spacing w:line="256" w:lineRule="auto"/>
              <w:rPr>
                <w:rFonts w:ascii="Verdana" w:hAnsi="Verdana"/>
                <w:b/>
                <w:bCs/>
                <w:lang w:val="es-ES_tradnl"/>
              </w:rPr>
            </w:pPr>
          </w:p>
          <w:p w14:paraId="61EE644E" w14:textId="77777777" w:rsidR="00225C61" w:rsidRPr="00A328F2" w:rsidRDefault="00225C61" w:rsidP="006270D8">
            <w:pPr>
              <w:spacing w:line="256" w:lineRule="auto"/>
              <w:rPr>
                <w:rFonts w:ascii="Verdana" w:hAnsi="Verdana"/>
                <w:b/>
                <w:bCs/>
                <w:lang w:val="es-ES_tradnl"/>
              </w:rPr>
            </w:pPr>
            <w:r w:rsidRPr="00A328F2">
              <w:rPr>
                <w:rFonts w:ascii="Verdana" w:hAnsi="Verdana"/>
                <w:b/>
                <w:bCs/>
                <w:lang w:val="es-ES_tradnl"/>
              </w:rPr>
              <w:t xml:space="preserve">Radicación:               </w:t>
            </w:r>
          </w:p>
        </w:tc>
        <w:tc>
          <w:tcPr>
            <w:tcW w:w="6241" w:type="dxa"/>
          </w:tcPr>
          <w:p w14:paraId="118AE200" w14:textId="77777777" w:rsidR="00225C61" w:rsidRPr="00A328F2" w:rsidRDefault="00225C61" w:rsidP="006270D8">
            <w:pPr>
              <w:spacing w:line="257" w:lineRule="auto"/>
              <w:jc w:val="both"/>
              <w:rPr>
                <w:rFonts w:ascii="Verdana" w:hAnsi="Verdana"/>
                <w:lang w:val="es-ES_tradnl"/>
              </w:rPr>
            </w:pPr>
          </w:p>
          <w:p w14:paraId="180CCF6D" w14:textId="77777777" w:rsidR="00225C61" w:rsidRPr="00A328F2" w:rsidRDefault="00225C61" w:rsidP="006270D8">
            <w:pPr>
              <w:spacing w:line="257" w:lineRule="auto"/>
              <w:jc w:val="both"/>
              <w:rPr>
                <w:rFonts w:ascii="Verdana" w:hAnsi="Verdana"/>
              </w:rPr>
            </w:pPr>
            <w:r w:rsidRPr="00A328F2">
              <w:rPr>
                <w:rFonts w:ascii="Verdana" w:hAnsi="Verdana"/>
                <w:lang w:val="es-ES_tradnl"/>
              </w:rPr>
              <w:t xml:space="preserve">Respuesta a consulta con radicado No. </w:t>
            </w:r>
            <w:r w:rsidRPr="00A328F2">
              <w:rPr>
                <w:rFonts w:ascii="Verdana" w:hAnsi="Verdana"/>
              </w:rPr>
              <w:t>1_2025_07_22_007496</w:t>
            </w:r>
          </w:p>
          <w:p w14:paraId="3E7E4FA1" w14:textId="77777777" w:rsidR="00225C61" w:rsidRPr="00A328F2" w:rsidRDefault="00225C61" w:rsidP="006270D8">
            <w:pPr>
              <w:spacing w:line="257" w:lineRule="auto"/>
              <w:jc w:val="both"/>
              <w:rPr>
                <w:rFonts w:ascii="Verdana" w:hAnsi="Verdana"/>
              </w:rPr>
            </w:pPr>
          </w:p>
          <w:p w14:paraId="0EC1B4D3" w14:textId="77777777" w:rsidR="00225C61" w:rsidRPr="00A328F2" w:rsidRDefault="00225C61" w:rsidP="006270D8">
            <w:pPr>
              <w:spacing w:line="257" w:lineRule="auto"/>
              <w:jc w:val="both"/>
              <w:rPr>
                <w:rFonts w:ascii="Verdana" w:hAnsi="Verdana"/>
              </w:rPr>
            </w:pPr>
          </w:p>
        </w:tc>
        <w:tc>
          <w:tcPr>
            <w:tcW w:w="6237" w:type="dxa"/>
          </w:tcPr>
          <w:p w14:paraId="3842B441" w14:textId="77777777" w:rsidR="00225C61" w:rsidRPr="00A328F2" w:rsidRDefault="00225C61" w:rsidP="006270D8">
            <w:pPr>
              <w:spacing w:line="256" w:lineRule="auto"/>
              <w:rPr>
                <w:rFonts w:ascii="Verdana" w:hAnsi="Verdana"/>
                <w:lang w:val="es-ES_tradnl"/>
              </w:rPr>
            </w:pPr>
          </w:p>
        </w:tc>
      </w:tr>
    </w:tbl>
    <w:p w14:paraId="056A9285" w14:textId="77777777" w:rsidR="00225C61" w:rsidRPr="00A328F2" w:rsidRDefault="00225C61" w:rsidP="00225C61">
      <w:pPr>
        <w:spacing w:after="0" w:line="256" w:lineRule="auto"/>
        <w:rPr>
          <w:rFonts w:ascii="Verdana" w:eastAsia="Calibri" w:hAnsi="Verdana" w:cs="Times New Roman"/>
          <w:lang w:val="es-ES"/>
        </w:rPr>
      </w:pPr>
      <w:r>
        <w:rPr>
          <w:rFonts w:ascii="Verdana" w:eastAsia="Calibri" w:hAnsi="Verdana" w:cs="Times New Roman"/>
          <w:lang w:val="es-ES"/>
        </w:rPr>
        <w:t>Estimado Señor Fuentes</w:t>
      </w:r>
      <w:r w:rsidRPr="00A328F2">
        <w:rPr>
          <w:rFonts w:ascii="Verdana" w:eastAsia="Calibri" w:hAnsi="Verdana" w:cs="Times New Roman"/>
          <w:lang w:val="es-ES"/>
        </w:rPr>
        <w:t xml:space="preserve">: </w:t>
      </w:r>
    </w:p>
    <w:p w14:paraId="6483BD2C" w14:textId="77777777" w:rsidR="00225C61" w:rsidRPr="00A328F2" w:rsidRDefault="00225C61" w:rsidP="00225C61">
      <w:pPr>
        <w:spacing w:after="0" w:line="256" w:lineRule="auto"/>
        <w:rPr>
          <w:rFonts w:ascii="Verdana" w:eastAsia="Calibri" w:hAnsi="Verdana" w:cs="Times New Roman"/>
          <w:lang w:val="es-ES"/>
        </w:rPr>
      </w:pPr>
    </w:p>
    <w:p w14:paraId="2CFD3E6A" w14:textId="77777777" w:rsidR="00225C61" w:rsidRPr="00A328F2" w:rsidRDefault="00225C61" w:rsidP="00225C61">
      <w:pPr>
        <w:spacing w:after="0" w:line="276" w:lineRule="auto"/>
        <w:jc w:val="both"/>
        <w:rPr>
          <w:rFonts w:ascii="Verdana" w:eastAsia="Calibri" w:hAnsi="Verdana" w:cs="Times New Roman"/>
        </w:rPr>
      </w:pPr>
      <w:r w:rsidRPr="00A328F2">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solicitud de consulta presentada el 22 de julio de 2025, en la cual manifiesta:</w:t>
      </w:r>
      <w:r w:rsidRPr="00A328F2">
        <w:rPr>
          <w:rFonts w:ascii="Verdana" w:eastAsia="Calibri" w:hAnsi="Verdana" w:cs="Times New Roman"/>
        </w:rPr>
        <w:t xml:space="preserve"> </w:t>
      </w:r>
    </w:p>
    <w:p w14:paraId="0A5044E6" w14:textId="77777777" w:rsidR="00225C61" w:rsidRPr="004252BF" w:rsidRDefault="00225C61" w:rsidP="00225C61">
      <w:pPr>
        <w:spacing w:after="0" w:line="240" w:lineRule="auto"/>
        <w:ind w:right="709"/>
        <w:jc w:val="both"/>
        <w:rPr>
          <w:rFonts w:ascii="Verdana" w:eastAsia="Calibri" w:hAnsi="Verdana" w:cs="Times New Roman"/>
          <w:iCs/>
          <w:sz w:val="20"/>
        </w:rPr>
      </w:pPr>
    </w:p>
    <w:p w14:paraId="446FDD9B" w14:textId="77777777" w:rsidR="00225C61" w:rsidRPr="00A328F2" w:rsidRDefault="00225C61" w:rsidP="00225C61">
      <w:pPr>
        <w:pStyle w:val="Prrafodelista"/>
        <w:ind w:right="709"/>
        <w:jc w:val="both"/>
        <w:rPr>
          <w:rFonts w:ascii="Verdana" w:eastAsia="Calibri" w:hAnsi="Verdana" w:cs="Times New Roman"/>
          <w:iCs/>
          <w:sz w:val="20"/>
          <w:szCs w:val="20"/>
          <w:lang w:val="es-CO"/>
        </w:rPr>
      </w:pPr>
      <w:r>
        <w:rPr>
          <w:rFonts w:ascii="Verdana" w:eastAsia="Calibri" w:hAnsi="Verdana" w:cs="Times New Roman"/>
          <w:iCs/>
          <w:sz w:val="20"/>
          <w:szCs w:val="20"/>
          <w:lang w:val="es-CO"/>
        </w:rPr>
        <w:t>“</w:t>
      </w:r>
      <w:r w:rsidRPr="00757E88">
        <w:rPr>
          <w:rFonts w:ascii="Verdana" w:eastAsia="Calibri" w:hAnsi="Verdana" w:cs="Times New Roman"/>
          <w:iCs/>
          <w:sz w:val="20"/>
          <w:szCs w:val="20"/>
          <w:lang w:val="es-CO"/>
        </w:rPr>
        <w:t xml:space="preserve">frente a la </w:t>
      </w:r>
      <w:r>
        <w:rPr>
          <w:rFonts w:ascii="Verdana" w:eastAsia="Calibri" w:hAnsi="Verdana" w:cs="Times New Roman"/>
          <w:iCs/>
          <w:sz w:val="20"/>
          <w:szCs w:val="20"/>
          <w:lang w:val="es-CO"/>
        </w:rPr>
        <w:t>aplicación</w:t>
      </w:r>
      <w:r w:rsidRPr="00757E88">
        <w:rPr>
          <w:rFonts w:ascii="Verdana" w:eastAsia="Calibri" w:hAnsi="Verdana" w:cs="Times New Roman"/>
          <w:iCs/>
          <w:sz w:val="20"/>
          <w:szCs w:val="20"/>
          <w:lang w:val="es-CO"/>
        </w:rPr>
        <w:t xml:space="preserve"> de la ley de </w:t>
      </w:r>
      <w:r>
        <w:rPr>
          <w:rFonts w:ascii="Verdana" w:eastAsia="Calibri" w:hAnsi="Verdana" w:cs="Times New Roman"/>
          <w:iCs/>
          <w:sz w:val="20"/>
          <w:szCs w:val="20"/>
          <w:lang w:val="es-CO"/>
        </w:rPr>
        <w:t>garantías (sic)</w:t>
      </w:r>
      <w:r w:rsidRPr="00757E88">
        <w:rPr>
          <w:rFonts w:ascii="Verdana" w:eastAsia="Calibri" w:hAnsi="Verdana" w:cs="Times New Roman"/>
          <w:iCs/>
          <w:sz w:val="20"/>
          <w:szCs w:val="20"/>
          <w:lang w:val="es-CO"/>
        </w:rPr>
        <w:t>, y de acuerd</w:t>
      </w:r>
      <w:r>
        <w:rPr>
          <w:rFonts w:ascii="Verdana" w:eastAsia="Calibri" w:hAnsi="Verdana" w:cs="Times New Roman"/>
          <w:iCs/>
          <w:sz w:val="20"/>
          <w:szCs w:val="20"/>
          <w:lang w:val="es-CO"/>
        </w:rPr>
        <w:t xml:space="preserve">o con el parágrafo del articulo (sic) </w:t>
      </w:r>
      <w:r w:rsidRPr="00757E88">
        <w:rPr>
          <w:rFonts w:ascii="Verdana" w:eastAsia="Calibri" w:hAnsi="Verdana" w:cs="Times New Roman"/>
          <w:iCs/>
          <w:sz w:val="20"/>
          <w:szCs w:val="20"/>
          <w:lang w:val="es-CO"/>
        </w:rPr>
        <w:t xml:space="preserve">38 de la ley 996 de 2005. ¿es posible celebrar </w:t>
      </w:r>
      <w:proofErr w:type="gramStart"/>
      <w:r w:rsidRPr="00757E88">
        <w:rPr>
          <w:rFonts w:ascii="Verdana" w:eastAsia="Calibri" w:hAnsi="Verdana" w:cs="Times New Roman"/>
          <w:iCs/>
          <w:sz w:val="20"/>
          <w:szCs w:val="20"/>
          <w:lang w:val="es-CO"/>
        </w:rPr>
        <w:t>convenio interadministrativos</w:t>
      </w:r>
      <w:proofErr w:type="gramEnd"/>
      <w:r w:rsidRPr="00757E88">
        <w:rPr>
          <w:rFonts w:ascii="Verdana" w:eastAsia="Calibri" w:hAnsi="Verdana" w:cs="Times New Roman"/>
          <w:iCs/>
          <w:sz w:val="20"/>
          <w:szCs w:val="20"/>
          <w:lang w:val="es-CO"/>
        </w:rPr>
        <w:t>, para la</w:t>
      </w:r>
      <w:r>
        <w:rPr>
          <w:rFonts w:ascii="Verdana" w:eastAsia="Calibri" w:hAnsi="Verdana" w:cs="Times New Roman"/>
          <w:iCs/>
          <w:sz w:val="20"/>
          <w:szCs w:val="20"/>
          <w:lang w:val="es-CO"/>
        </w:rPr>
        <w:t xml:space="preserve"> </w:t>
      </w:r>
      <w:r w:rsidRPr="00757E88">
        <w:rPr>
          <w:rFonts w:ascii="Verdana" w:eastAsia="Calibri" w:hAnsi="Verdana" w:cs="Times New Roman"/>
          <w:iCs/>
          <w:sz w:val="20"/>
          <w:szCs w:val="20"/>
          <w:lang w:val="es-CO"/>
        </w:rPr>
        <w:t xml:space="preserve">transferencia de subsidios de servicios </w:t>
      </w:r>
      <w:r>
        <w:rPr>
          <w:rFonts w:ascii="Verdana" w:eastAsia="Calibri" w:hAnsi="Verdana" w:cs="Times New Roman"/>
          <w:iCs/>
          <w:sz w:val="20"/>
          <w:szCs w:val="20"/>
          <w:lang w:val="es-CO"/>
        </w:rPr>
        <w:t>públicos (sic)</w:t>
      </w:r>
      <w:r w:rsidRPr="00757E88">
        <w:rPr>
          <w:rFonts w:ascii="Verdana" w:eastAsia="Calibri" w:hAnsi="Verdana" w:cs="Times New Roman"/>
          <w:iCs/>
          <w:sz w:val="20"/>
          <w:szCs w:val="20"/>
          <w:lang w:val="es-CO"/>
        </w:rPr>
        <w:t xml:space="preserve"> domiciliarios?, en caso de no ser</w:t>
      </w:r>
      <w:r>
        <w:rPr>
          <w:rFonts w:ascii="Verdana" w:eastAsia="Calibri" w:hAnsi="Verdana" w:cs="Times New Roman"/>
          <w:iCs/>
          <w:sz w:val="20"/>
          <w:szCs w:val="20"/>
          <w:lang w:val="es-CO"/>
        </w:rPr>
        <w:t xml:space="preserve"> </w:t>
      </w:r>
      <w:r w:rsidRPr="00757E88">
        <w:rPr>
          <w:rFonts w:ascii="Verdana" w:eastAsia="Calibri" w:hAnsi="Verdana" w:cs="Times New Roman"/>
          <w:iCs/>
          <w:sz w:val="20"/>
          <w:szCs w:val="20"/>
          <w:lang w:val="es-CO"/>
        </w:rPr>
        <w:t xml:space="preserve">posible ¿que figura </w:t>
      </w:r>
      <w:proofErr w:type="spellStart"/>
      <w:r w:rsidRPr="00757E88">
        <w:rPr>
          <w:rFonts w:ascii="Verdana" w:eastAsia="Calibri" w:hAnsi="Verdana" w:cs="Times New Roman"/>
          <w:iCs/>
          <w:sz w:val="20"/>
          <w:szCs w:val="20"/>
          <w:lang w:val="es-CO"/>
        </w:rPr>
        <w:t>juridica</w:t>
      </w:r>
      <w:proofErr w:type="spellEnd"/>
      <w:r w:rsidRPr="00757E88">
        <w:rPr>
          <w:rFonts w:ascii="Verdana" w:eastAsia="Calibri" w:hAnsi="Verdana" w:cs="Times New Roman"/>
          <w:iCs/>
          <w:sz w:val="20"/>
          <w:szCs w:val="20"/>
          <w:lang w:val="es-CO"/>
        </w:rPr>
        <w:t xml:space="preserve"> hay para otorgar los mencionados subsidios?, teniendo</w:t>
      </w:r>
      <w:r>
        <w:rPr>
          <w:rFonts w:ascii="Verdana" w:eastAsia="Calibri" w:hAnsi="Verdana" w:cs="Times New Roman"/>
          <w:iCs/>
          <w:sz w:val="20"/>
          <w:szCs w:val="20"/>
          <w:lang w:val="es-CO"/>
        </w:rPr>
        <w:t xml:space="preserve"> </w:t>
      </w:r>
      <w:r w:rsidRPr="00757E88">
        <w:rPr>
          <w:rFonts w:ascii="Verdana" w:eastAsia="Calibri" w:hAnsi="Verdana" w:cs="Times New Roman"/>
          <w:iCs/>
          <w:sz w:val="20"/>
          <w:szCs w:val="20"/>
          <w:lang w:val="es-CO"/>
        </w:rPr>
        <w:t xml:space="preserve">en cuenta que estos convenios se realizan de manera anual y </w:t>
      </w:r>
      <w:r>
        <w:rPr>
          <w:rFonts w:ascii="Verdana" w:eastAsia="Calibri" w:hAnsi="Verdana" w:cs="Times New Roman"/>
          <w:iCs/>
          <w:sz w:val="20"/>
          <w:szCs w:val="20"/>
          <w:lang w:val="es-CO"/>
        </w:rPr>
        <w:t>están (sic)</w:t>
      </w:r>
      <w:r w:rsidRPr="00757E88">
        <w:rPr>
          <w:rFonts w:ascii="Verdana" w:eastAsia="Calibri" w:hAnsi="Verdana" w:cs="Times New Roman"/>
          <w:iCs/>
          <w:sz w:val="20"/>
          <w:szCs w:val="20"/>
          <w:lang w:val="es-CO"/>
        </w:rPr>
        <w:t xml:space="preserve"> vigentes hasta</w:t>
      </w:r>
      <w:r>
        <w:rPr>
          <w:rFonts w:ascii="Verdana" w:eastAsia="Calibri" w:hAnsi="Verdana" w:cs="Times New Roman"/>
          <w:iCs/>
          <w:sz w:val="20"/>
          <w:szCs w:val="20"/>
          <w:lang w:val="es-CO"/>
        </w:rPr>
        <w:t xml:space="preserve"> </w:t>
      </w:r>
      <w:r w:rsidRPr="00757E88">
        <w:rPr>
          <w:rFonts w:ascii="Verdana" w:eastAsia="Calibri" w:hAnsi="Verdana" w:cs="Times New Roman"/>
          <w:iCs/>
          <w:sz w:val="20"/>
          <w:szCs w:val="20"/>
          <w:lang w:val="es-CO"/>
        </w:rPr>
        <w:t xml:space="preserve">el 31 de diciembre de 2025, lo que </w:t>
      </w:r>
      <w:r>
        <w:rPr>
          <w:rFonts w:ascii="Verdana" w:eastAsia="Calibri" w:hAnsi="Verdana" w:cs="Times New Roman"/>
          <w:iCs/>
          <w:sz w:val="20"/>
          <w:szCs w:val="20"/>
          <w:lang w:val="es-CO"/>
        </w:rPr>
        <w:t>daría (sic)</w:t>
      </w:r>
      <w:r w:rsidRPr="00757E88">
        <w:rPr>
          <w:rFonts w:ascii="Verdana" w:eastAsia="Calibri" w:hAnsi="Verdana" w:cs="Times New Roman"/>
          <w:iCs/>
          <w:sz w:val="20"/>
          <w:szCs w:val="20"/>
          <w:lang w:val="es-CO"/>
        </w:rPr>
        <w:t xml:space="preserve"> </w:t>
      </w:r>
      <w:proofErr w:type="gramStart"/>
      <w:r w:rsidRPr="00757E88">
        <w:rPr>
          <w:rFonts w:ascii="Verdana" w:eastAsia="Calibri" w:hAnsi="Verdana" w:cs="Times New Roman"/>
          <w:iCs/>
          <w:sz w:val="20"/>
          <w:szCs w:val="20"/>
          <w:lang w:val="es-CO"/>
        </w:rPr>
        <w:t>que</w:t>
      </w:r>
      <w:proofErr w:type="gramEnd"/>
      <w:r w:rsidRPr="00757E88">
        <w:rPr>
          <w:rFonts w:ascii="Verdana" w:eastAsia="Calibri" w:hAnsi="Verdana" w:cs="Times New Roman"/>
          <w:iCs/>
          <w:sz w:val="20"/>
          <w:szCs w:val="20"/>
          <w:lang w:val="es-CO"/>
        </w:rPr>
        <w:t xml:space="preserve"> durante los meses de enero a marzo,</w:t>
      </w:r>
      <w:r>
        <w:rPr>
          <w:rFonts w:ascii="Verdana" w:eastAsia="Calibri" w:hAnsi="Verdana" w:cs="Times New Roman"/>
          <w:iCs/>
          <w:sz w:val="20"/>
          <w:szCs w:val="20"/>
          <w:lang w:val="es-CO"/>
        </w:rPr>
        <w:t xml:space="preserve"> </w:t>
      </w:r>
      <w:r w:rsidRPr="00A328F2">
        <w:rPr>
          <w:rFonts w:ascii="Verdana" w:eastAsia="Calibri" w:hAnsi="Verdana" w:cs="Times New Roman"/>
          <w:iCs/>
          <w:sz w:val="20"/>
          <w:szCs w:val="20"/>
          <w:lang w:val="es-CO"/>
        </w:rPr>
        <w:t xml:space="preserve">no se pueden </w:t>
      </w:r>
      <w:proofErr w:type="spellStart"/>
      <w:r w:rsidRPr="00A328F2">
        <w:rPr>
          <w:rFonts w:ascii="Verdana" w:eastAsia="Calibri" w:hAnsi="Verdana" w:cs="Times New Roman"/>
          <w:iCs/>
          <w:sz w:val="20"/>
          <w:szCs w:val="20"/>
          <w:lang w:val="es-CO"/>
        </w:rPr>
        <w:t>otargar</w:t>
      </w:r>
      <w:proofErr w:type="spellEnd"/>
      <w:r w:rsidRPr="00A328F2">
        <w:rPr>
          <w:rFonts w:ascii="Verdana" w:eastAsia="Calibri" w:hAnsi="Verdana" w:cs="Times New Roman"/>
          <w:iCs/>
          <w:sz w:val="20"/>
          <w:szCs w:val="20"/>
          <w:lang w:val="es-CO"/>
        </w:rPr>
        <w:t xml:space="preserve"> dichos subsidios a las </w:t>
      </w:r>
      <w:proofErr w:type="spellStart"/>
      <w:r w:rsidRPr="00A328F2">
        <w:rPr>
          <w:rFonts w:ascii="Verdana" w:eastAsia="Calibri" w:hAnsi="Verdana" w:cs="Times New Roman"/>
          <w:iCs/>
          <w:sz w:val="20"/>
          <w:szCs w:val="20"/>
          <w:lang w:val="es-CO"/>
        </w:rPr>
        <w:t>presonas</w:t>
      </w:r>
      <w:proofErr w:type="spellEnd"/>
      <w:r w:rsidRPr="00A328F2">
        <w:rPr>
          <w:rFonts w:ascii="Verdana" w:eastAsia="Calibri" w:hAnsi="Verdana" w:cs="Times New Roman"/>
          <w:iCs/>
          <w:sz w:val="20"/>
          <w:szCs w:val="20"/>
          <w:lang w:val="es-CO"/>
        </w:rPr>
        <w:t xml:space="preserve"> </w:t>
      </w:r>
      <w:proofErr w:type="spellStart"/>
      <w:r w:rsidRPr="00A328F2">
        <w:rPr>
          <w:rFonts w:ascii="Verdana" w:eastAsia="Calibri" w:hAnsi="Verdana" w:cs="Times New Roman"/>
          <w:iCs/>
          <w:sz w:val="20"/>
          <w:szCs w:val="20"/>
          <w:lang w:val="es-CO"/>
        </w:rPr>
        <w:t>mas</w:t>
      </w:r>
      <w:proofErr w:type="spellEnd"/>
      <w:r w:rsidRPr="00A328F2">
        <w:rPr>
          <w:rFonts w:ascii="Verdana" w:eastAsia="Calibri" w:hAnsi="Verdana" w:cs="Times New Roman"/>
          <w:iCs/>
          <w:sz w:val="20"/>
          <w:szCs w:val="20"/>
          <w:lang w:val="es-CO"/>
        </w:rPr>
        <w:t xml:space="preserve"> vulnerables:</w:t>
      </w:r>
      <w:r w:rsidRPr="00A328F2">
        <w:rPr>
          <w:rFonts w:ascii="Verdana" w:eastAsia="Calibri" w:hAnsi="Verdana" w:cs="Times New Roman"/>
          <w:iCs/>
          <w:sz w:val="20"/>
          <w:szCs w:val="20"/>
        </w:rPr>
        <w:t>”</w:t>
      </w:r>
    </w:p>
    <w:p w14:paraId="12956A0A" w14:textId="77777777" w:rsidR="00225C61" w:rsidRPr="0038606D" w:rsidRDefault="00225C61" w:rsidP="00225C61">
      <w:pPr>
        <w:spacing w:after="0" w:line="240" w:lineRule="auto"/>
        <w:ind w:right="709"/>
        <w:jc w:val="both"/>
        <w:rPr>
          <w:rFonts w:ascii="Verdana" w:eastAsia="Calibri" w:hAnsi="Verdana" w:cs="Times New Roman"/>
          <w:i/>
          <w:iCs/>
          <w:sz w:val="20"/>
        </w:rPr>
      </w:pPr>
    </w:p>
    <w:p w14:paraId="0911B63C" w14:textId="77777777" w:rsidR="00225C61" w:rsidRPr="00A12CB6" w:rsidRDefault="00225C61" w:rsidP="00225C61">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788E2E8" w14:textId="77777777" w:rsidR="00225C61" w:rsidRPr="00A12CB6" w:rsidRDefault="00225C61" w:rsidP="00225C61">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lang w:val="es-ES"/>
        </w:rPr>
        <w:t xml:space="preserve">s generales relacionadas con el problema jurídico de su consulta. </w:t>
      </w:r>
    </w:p>
    <w:p w14:paraId="2975A038" w14:textId="77777777" w:rsidR="00225C61" w:rsidRPr="00A12CB6" w:rsidRDefault="00225C61" w:rsidP="00225C61">
      <w:pPr>
        <w:spacing w:after="0" w:line="256" w:lineRule="auto"/>
        <w:rPr>
          <w:rFonts w:ascii="Verdana" w:eastAsia="Calibri" w:hAnsi="Verdana" w:cs="Times New Roman"/>
          <w:lang w:val="es-ES"/>
        </w:rPr>
      </w:pPr>
    </w:p>
    <w:p w14:paraId="20905831" w14:textId="77777777" w:rsidR="00225C61" w:rsidRPr="00A12CB6" w:rsidRDefault="00225C61" w:rsidP="00225C61">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5C940D17" w14:textId="77777777" w:rsidR="00225C61" w:rsidRPr="00A12CB6" w:rsidRDefault="00225C61" w:rsidP="00225C61">
      <w:pPr>
        <w:spacing w:after="0" w:line="256" w:lineRule="auto"/>
        <w:rPr>
          <w:rFonts w:ascii="Verdana" w:eastAsia="Calibri" w:hAnsi="Verdana" w:cs="Times New Roman"/>
        </w:rPr>
      </w:pPr>
    </w:p>
    <w:p w14:paraId="36C71B86" w14:textId="77777777" w:rsidR="00225C61" w:rsidRDefault="00225C61" w:rsidP="00225C61">
      <w:pPr>
        <w:spacing w:after="0" w:line="276" w:lineRule="auto"/>
        <w:jc w:val="both"/>
        <w:rPr>
          <w:rFonts w:ascii="Verdana" w:eastAsia="Calibri" w:hAnsi="Verdana" w:cs="Times New Roman"/>
          <w:i/>
          <w:iCs/>
          <w:lang w:val="es-ES"/>
        </w:rPr>
      </w:pPr>
      <w:r w:rsidRPr="134495F9">
        <w:rPr>
          <w:rFonts w:ascii="Verdana" w:eastAsia="Calibri" w:hAnsi="Verdana" w:cs="Times New Roman"/>
        </w:rPr>
        <w:t>De acuerdo con el contenido de sus solicitudes, esta Agencia procede a resolver</w:t>
      </w:r>
      <w:r>
        <w:rPr>
          <w:rFonts w:ascii="Verdana" w:eastAsia="Calibri" w:hAnsi="Verdana" w:cs="Times New Roman"/>
        </w:rPr>
        <w:t xml:space="preserve"> el siguiente problema jurídico: ¿Procede la restricción del artículo 38 de la Ley 996 de 2005 –Ley de Garantías Electorales- en torno a la </w:t>
      </w:r>
      <w:r>
        <w:rPr>
          <w:rFonts w:ascii="Verdana" w:eastAsia="Calibri" w:hAnsi="Verdana" w:cs="Times New Roman"/>
          <w:iCs/>
        </w:rPr>
        <w:t>celebración de convenios interadministrativos cuyo objeto es la transferencia de subsidios de servicios públicos domiciliarios?</w:t>
      </w:r>
    </w:p>
    <w:p w14:paraId="0F77BA4D" w14:textId="77777777" w:rsidR="00225C61" w:rsidRPr="00277150" w:rsidRDefault="00225C61" w:rsidP="00225C61">
      <w:pPr>
        <w:spacing w:after="0" w:line="276" w:lineRule="auto"/>
        <w:jc w:val="both"/>
        <w:rPr>
          <w:rFonts w:ascii="Verdana" w:eastAsia="Calibri" w:hAnsi="Verdana" w:cs="Times New Roman"/>
          <w:i/>
          <w:iCs/>
          <w:lang w:val="es-ES"/>
        </w:rPr>
      </w:pPr>
    </w:p>
    <w:p w14:paraId="7F32CE8C" w14:textId="77777777" w:rsidR="00225C61" w:rsidRDefault="00225C61" w:rsidP="00225C61">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5B2AC200" w14:textId="77777777" w:rsidR="00225C61" w:rsidRPr="00A12CB6" w:rsidRDefault="00225C61" w:rsidP="00225C61">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225C61" w:rsidRPr="001205D1" w14:paraId="778BF130" w14:textId="77777777" w:rsidTr="006270D8">
        <w:trPr>
          <w:trHeight w:val="345"/>
          <w:jc w:val="center"/>
        </w:trPr>
        <w:tc>
          <w:tcPr>
            <w:tcW w:w="8784" w:type="dxa"/>
            <w:tcBorders>
              <w:bottom w:val="single" w:sz="4" w:space="0" w:color="auto"/>
            </w:tcBorders>
          </w:tcPr>
          <w:p w14:paraId="12615EA2" w14:textId="77777777" w:rsidR="00225C61" w:rsidRDefault="00225C61" w:rsidP="006270D8">
            <w:pPr>
              <w:spacing w:after="120" w:line="276" w:lineRule="auto"/>
              <w:jc w:val="both"/>
              <w:rPr>
                <w:rFonts w:ascii="Verdana" w:eastAsia="Times New Roman" w:hAnsi="Verdana" w:cs="Arial"/>
                <w:lang w:val="es-MX" w:eastAsia="x-none"/>
              </w:rPr>
            </w:pPr>
            <w:r w:rsidRPr="0030056F">
              <w:rPr>
                <w:rFonts w:ascii="Verdana" w:eastAsia="Calibri" w:hAnsi="Verdana" w:cs="Times New Roman"/>
              </w:rPr>
              <w:t xml:space="preserve">En cuanto al problema jurídico, objeto de consulta, </w:t>
            </w:r>
            <w:r w:rsidRPr="00E2397D">
              <w:rPr>
                <w:rFonts w:ascii="Verdana" w:eastAsia="Calibri" w:hAnsi="Verdana" w:cs="Arial"/>
                <w:lang w:eastAsia="es-ES" w:bidi="es-ES"/>
              </w:rPr>
              <w:t xml:space="preserve">resulta necesario precisar el alcance de la prohibición </w:t>
            </w:r>
            <w:r w:rsidRPr="00E2397D">
              <w:rPr>
                <w:rFonts w:ascii="Verdana" w:eastAsia="Arial" w:hAnsi="Verdana" w:cs="Arial"/>
                <w:lang w:val="es-ES" w:eastAsia="es-ES" w:bidi="es-ES"/>
              </w:rPr>
              <w:t>establecida en e</w:t>
            </w:r>
            <w:r w:rsidRPr="00E2397D">
              <w:rPr>
                <w:rFonts w:ascii="Verdana" w:eastAsia="Calibri" w:hAnsi="Verdana" w:cs="Arial"/>
              </w:rPr>
              <w:t>l parágrafo del artículo 38 de la Ley 996 de 2005. La citada norm</w:t>
            </w:r>
            <w:r>
              <w:rPr>
                <w:rFonts w:ascii="Verdana" w:eastAsia="Calibri" w:hAnsi="Verdana" w:cs="Arial"/>
              </w:rPr>
              <w:t xml:space="preserve">a dispone: </w:t>
            </w:r>
            <w:r w:rsidRPr="00E2397D">
              <w:rPr>
                <w:rFonts w:ascii="Verdana" w:eastAsia="Calibri" w:hAnsi="Verdana" w:cs="Arial"/>
              </w:rPr>
              <w:t xml:space="preserve">“[l]os Gobernadores, </w:t>
            </w:r>
            <w:proofErr w:type="gramStart"/>
            <w:r w:rsidRPr="00E2397D">
              <w:rPr>
                <w:rFonts w:ascii="Verdana" w:eastAsia="Calibri" w:hAnsi="Verdana" w:cs="Arial"/>
              </w:rPr>
              <w:t>Alcaldes</w:t>
            </w:r>
            <w:proofErr w:type="gramEnd"/>
            <w:r w:rsidRPr="00E2397D">
              <w:rPr>
                <w:rFonts w:ascii="Verdana" w:eastAsia="Calibri" w:hAnsi="Verdana" w:cs="Arial"/>
              </w:rPr>
              <w:t xml:space="preserve"> Municipales y/o Distritales, </w:t>
            </w:r>
            <w:proofErr w:type="gramStart"/>
            <w:r w:rsidRPr="00E2397D">
              <w:rPr>
                <w:rFonts w:ascii="Verdana" w:eastAsia="Calibri" w:hAnsi="Verdana" w:cs="Arial"/>
              </w:rPr>
              <w:t>Secretarios</w:t>
            </w:r>
            <w:proofErr w:type="gramEnd"/>
            <w:r w:rsidRPr="00E2397D">
              <w:rPr>
                <w:rFonts w:ascii="Verdana" w:eastAsia="Calibri" w:hAnsi="Verdana" w:cs="Arial"/>
              </w:rPr>
              <w:t xml:space="preserve">, Gerentes y directores de Entidades Descentralizadas del orden Municipal, Departamental o Distrital, dentro de los cuatro (4) meses anteriores a las elecciones, no podrán celebrar </w:t>
            </w:r>
            <w:r w:rsidRPr="00E2397D">
              <w:rPr>
                <w:rFonts w:ascii="Verdana" w:eastAsia="Calibri" w:hAnsi="Verdana" w:cs="Arial"/>
                <w:i/>
                <w:iCs/>
              </w:rPr>
              <w:t xml:space="preserve">convenios </w:t>
            </w:r>
            <w:r w:rsidRPr="00E2397D">
              <w:rPr>
                <w:rFonts w:ascii="Verdana" w:eastAsia="Calibri" w:hAnsi="Verdana" w:cs="Arial"/>
                <w:i/>
                <w:iCs/>
              </w:rPr>
              <w:lastRenderedPageBreak/>
              <w:t>interadministrativos</w:t>
            </w:r>
            <w:r w:rsidRPr="00E2397D">
              <w:rPr>
                <w:rFonts w:ascii="Verdana" w:eastAsia="Calibri" w:hAnsi="Verdana" w:cs="Arial"/>
              </w:rPr>
              <w:t xml:space="preserve"> para la ejecución de recursos públicos”.</w:t>
            </w:r>
            <w:r w:rsidRPr="00E2397D">
              <w:rPr>
                <w:rFonts w:ascii="Verdana" w:eastAsia="Times New Roman" w:hAnsi="Verdana" w:cs="Arial"/>
                <w:lang w:val="es-MX" w:eastAsia="x-none"/>
              </w:rPr>
              <w:t xml:space="preserve"> [Énfasis fuera del texto original]</w:t>
            </w:r>
          </w:p>
          <w:p w14:paraId="3C781E28" w14:textId="77777777" w:rsidR="00225C61" w:rsidRPr="00DC6BB5" w:rsidRDefault="00225C61" w:rsidP="006270D8">
            <w:pPr>
              <w:spacing w:before="120"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 xml:space="preserve">Con el fin de comprender el momento de aplicación de esta restricción, es preciso señalar que el vocablo “celebrar” </w:t>
            </w:r>
            <w:r>
              <w:rPr>
                <w:rFonts w:ascii="Verdana" w:eastAsia="Times New Roman" w:hAnsi="Verdana" w:cs="Arial"/>
                <w:bCs/>
                <w:lang w:eastAsia="es-CO"/>
              </w:rPr>
              <w:t xml:space="preserve">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proofErr w:type="spellStart"/>
            <w:r w:rsidRPr="00447D82">
              <w:rPr>
                <w:rFonts w:ascii="Verdana" w:eastAsia="Times New Roman" w:hAnsi="Verdana" w:cs="Arial"/>
                <w:bCs/>
                <w:i/>
                <w:lang w:val="es-ES" w:eastAsia="es-CO"/>
              </w:rPr>
              <w:t>ibídem</w:t>
            </w:r>
            <w:proofErr w:type="spellEnd"/>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6729ABF0" w14:textId="77777777" w:rsidR="00225C61" w:rsidRDefault="00225C61" w:rsidP="006270D8">
            <w:pPr>
              <w:spacing w:before="120"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En esta línea, es procedente que se celebren contratos y/ o convenios interadministrativos previos al límite temporal fijado por la Ley de Garantías Electorales y ejecutarse en meses posteriores, como es el caso de la transferencia de subsidios de servicios públicos. En todo caso, debe tenerse en cuenta las reglas, normas, directrices y lineamientos en la planeación y ejecución del presupuesto. </w:t>
            </w:r>
          </w:p>
          <w:p w14:paraId="44B5F3FF" w14:textId="77777777" w:rsidR="00225C61" w:rsidRPr="00DC6BB5" w:rsidRDefault="00225C61" w:rsidP="006270D8">
            <w:pPr>
              <w:spacing w:before="120" w:after="120" w:line="276" w:lineRule="auto"/>
              <w:ind w:firstLine="708"/>
              <w:jc w:val="both"/>
              <w:rPr>
                <w:rFonts w:ascii="Verdana" w:eastAsia="Times New Roman" w:hAnsi="Verdana" w:cs="Arial"/>
                <w:bCs/>
                <w:lang w:val="es-MX" w:eastAsia="es-CO"/>
              </w:rPr>
            </w:pPr>
            <w:r>
              <w:rPr>
                <w:rFonts w:ascii="Verdana" w:eastAsia="Times New Roman" w:hAnsi="Verdana" w:cs="Arial"/>
                <w:bCs/>
                <w:lang w:val="es-ES" w:eastAsia="es-CO"/>
              </w:rPr>
              <w:t xml:space="preserve">Así 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xml:space="preserve">, pueden tener lugar en el período de aplicación de la Ley de Garantías, sin que ello haga nugatoria la restricción de la contratación directa y siempre que cumplan los principios de planeación, transparencia y responsabilidad. </w:t>
            </w:r>
          </w:p>
          <w:p w14:paraId="135E675D" w14:textId="77777777" w:rsidR="00225C61" w:rsidRPr="0030056F" w:rsidRDefault="00225C61" w:rsidP="006270D8">
            <w:pPr>
              <w:spacing w:before="120" w:after="120" w:line="276" w:lineRule="auto"/>
              <w:ind w:firstLine="709"/>
              <w:jc w:val="both"/>
              <w:rPr>
                <w:rFonts w:ascii="Verdana" w:hAnsi="Verdana"/>
              </w:rPr>
            </w:pPr>
            <w:r w:rsidRPr="0030056F">
              <w:rPr>
                <w:rFonts w:ascii="Verdana" w:eastAsia="Arial" w:hAnsi="Verdana" w:cs="Arial"/>
                <w:lang w:val="es-MX" w:eastAsia="es-ES" w:bidi="es-ES"/>
              </w:rPr>
              <w:lastRenderedPageBreak/>
              <w:t>No obstante, conviene</w:t>
            </w:r>
            <w:r>
              <w:rPr>
                <w:rFonts w:ascii="Verdana" w:eastAsia="Arial" w:hAnsi="Verdana" w:cs="Arial"/>
                <w:lang w:val="es-MX" w:eastAsia="es-ES" w:bidi="es-ES"/>
              </w:rPr>
              <w:t xml:space="preserve"> señalar que, mediante A</w:t>
            </w:r>
            <w:r w:rsidRPr="0030056F">
              <w:rPr>
                <w:rFonts w:ascii="Verdana" w:eastAsia="Arial" w:hAnsi="Verdana" w:cs="Arial"/>
                <w:lang w:val="es-MX" w:eastAsia="es-ES" w:bidi="es-ES"/>
              </w:rPr>
              <w:t xml:space="preserve">uto de 4 de octubre del 2024, el Consejo de Estado, Sección Tercera, decretó medida de suspensión provisional parcial del </w:t>
            </w:r>
            <w:r w:rsidRPr="0030056F">
              <w:rPr>
                <w:rFonts w:ascii="Verdana" w:hAnsi="Verdana"/>
              </w:rPr>
              <w:t>numeral 16.2 de la Circular Externa Única de 2022 expedida por la Agencia Nacional de Contratación Pública -Co</w:t>
            </w:r>
            <w:r>
              <w:rPr>
                <w:rFonts w:ascii="Verdana" w:hAnsi="Verdana"/>
              </w:rPr>
              <w:t>lombia Compra Eficiente</w:t>
            </w:r>
            <w:r w:rsidRPr="0030056F">
              <w:rPr>
                <w:rFonts w:ascii="Verdana" w:hAnsi="Verdana"/>
              </w:rPr>
              <w:t xml:space="preserve">, concretamente, respecto de </w:t>
            </w:r>
            <w:r>
              <w:rPr>
                <w:rFonts w:ascii="Verdana" w:hAnsi="Verdana"/>
              </w:rPr>
              <w:t xml:space="preserve">los aspectos </w:t>
            </w:r>
            <w:r w:rsidRPr="0030056F">
              <w:rPr>
                <w:rFonts w:ascii="Verdana" w:hAnsi="Verdana"/>
              </w:rPr>
              <w:t>normativos</w:t>
            </w:r>
            <w:r w:rsidRPr="0030056F">
              <w:rPr>
                <w:rFonts w:ascii="Verdana" w:hAnsi="Verdana"/>
                <w:vertAlign w:val="superscript"/>
              </w:rPr>
              <w:t xml:space="preserve"> </w:t>
            </w:r>
            <w:r w:rsidRPr="0030056F">
              <w:rPr>
                <w:rFonts w:ascii="Verdana" w:hAnsi="Verdana"/>
              </w:rPr>
              <w:t>que alude</w:t>
            </w:r>
            <w:r>
              <w:rPr>
                <w:rFonts w:ascii="Verdana" w:hAnsi="Verdana"/>
              </w:rPr>
              <w:t>n</w:t>
            </w:r>
            <w:r w:rsidRPr="0030056F">
              <w:rPr>
                <w:rFonts w:ascii="Verdana" w:hAnsi="Verdana"/>
              </w:rPr>
              <w:t xml:space="preserve"> a que la restricción del artículo 38 se refiere a los convenios como a los contratos interadministrativos, pues </w:t>
            </w:r>
            <w:r w:rsidRPr="0030056F">
              <w:rPr>
                <w:rFonts w:ascii="Verdana" w:eastAsia="Calibri" w:hAnsi="Verdana" w:cs="Arial"/>
              </w:rPr>
              <w:t xml:space="preserve">no hay una definición legal que diferencie el concepto de convenio del concepto de contrato, la denominación prevista por la Ley 80 de 1993 y la Ley 1150 de 2007 para tal fin se entenderán en el mismo significado, para efectos de la prohibición. </w:t>
            </w:r>
          </w:p>
          <w:p w14:paraId="27B01994" w14:textId="77777777" w:rsidR="00225C61" w:rsidRPr="0030056F" w:rsidRDefault="00225C61" w:rsidP="006270D8">
            <w:pPr>
              <w:spacing w:before="120" w:after="120" w:line="276" w:lineRule="auto"/>
              <w:ind w:firstLine="709"/>
              <w:jc w:val="both"/>
              <w:rPr>
                <w:rFonts w:ascii="Verdana" w:eastAsia="Arial" w:hAnsi="Verdana" w:cs="Arial"/>
                <w:i/>
                <w:iCs/>
                <w:lang w:val="es-MX" w:eastAsia="es-ES" w:bidi="es-ES"/>
              </w:rPr>
            </w:pPr>
            <w:r w:rsidRPr="0030056F">
              <w:rPr>
                <w:rFonts w:ascii="Verdana" w:eastAsia="Arial" w:hAnsi="Verdana" w:cs="Arial"/>
                <w:lang w:val="es-MX" w:eastAsia="es-ES" w:bidi="es-ES"/>
              </w:rPr>
              <w:t xml:space="preserve">De conformidad con los argumentos de dicha providencia, se parte de la distinción entre los conceptos </w:t>
            </w:r>
            <w:r w:rsidRPr="0030056F">
              <w:rPr>
                <w:rFonts w:ascii="Verdana" w:eastAsia="Arial" w:hAnsi="Verdana" w:cs="Arial"/>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30056F">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30056F">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30056F">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29D1FE7C" w14:textId="77777777" w:rsidR="00225C61" w:rsidRPr="0030056F" w:rsidRDefault="00225C61" w:rsidP="006270D8">
            <w:pPr>
              <w:spacing w:before="120" w:after="120" w:line="276" w:lineRule="auto"/>
              <w:ind w:firstLine="709"/>
              <w:jc w:val="both"/>
              <w:rPr>
                <w:rFonts w:ascii="Verdana" w:eastAsia="Calibri" w:hAnsi="Verdana" w:cs="Arial"/>
                <w:lang w:val="es-MX"/>
              </w:rPr>
            </w:pPr>
            <w:r w:rsidRPr="0030056F">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30056F">
              <w:rPr>
                <w:rFonts w:ascii="Verdana" w:eastAsia="Arial" w:hAnsi="Verdana" w:cs="Arial"/>
                <w:lang w:eastAsia="es-ES" w:bidi="es-ES"/>
              </w:rPr>
              <w:t>16.2 de la Circular Externa Única</w:t>
            </w:r>
            <w:r w:rsidRPr="0030056F">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30056F">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30056F">
              <w:rPr>
                <w:rFonts w:ascii="Verdana" w:eastAsia="Calibri" w:hAnsi="Verdana" w:cs="Arial"/>
                <w:lang w:val="es-MX"/>
              </w:rPr>
              <w:t xml:space="preserve">los recursos del Estado se ejecuten para lograr apoyos indebidos mediante la </w:t>
            </w:r>
            <w:r w:rsidRPr="0030056F">
              <w:rPr>
                <w:rFonts w:ascii="Verdana" w:eastAsia="Calibri" w:hAnsi="Verdana" w:cs="Arial"/>
                <w:lang w:val="es-MX"/>
              </w:rPr>
              <w:lastRenderedPageBreak/>
              <w:t xml:space="preserve">suscripción de contratos y/o convenios, que para efectos de la Ley de Garantías tienen la misma connotación y propósitos. </w:t>
            </w:r>
          </w:p>
          <w:p w14:paraId="781CABF7" w14:textId="77777777" w:rsidR="00225C61" w:rsidRDefault="00225C61" w:rsidP="006270D8">
            <w:pPr>
              <w:spacing w:before="120" w:after="120" w:line="276" w:lineRule="auto"/>
              <w:ind w:firstLine="709"/>
              <w:jc w:val="both"/>
              <w:rPr>
                <w:rFonts w:ascii="Verdana" w:eastAsia="Times New Roman" w:hAnsi="Verdana" w:cs="Arial"/>
                <w:lang w:val="es-MX" w:eastAsia="es-CO"/>
              </w:rPr>
            </w:pPr>
            <w:r w:rsidRPr="0030056F">
              <w:rPr>
                <w:rFonts w:ascii="Verdana" w:eastAsia="Calibri" w:hAnsi="Verdana" w:cs="Arial"/>
              </w:rPr>
              <w:t xml:space="preserve">Conforme a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30056F">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30056F">
              <w:rPr>
                <w:rFonts w:ascii="Verdana" w:eastAsia="Calibri" w:hAnsi="Verdana" w:cs="Arial"/>
                <w:lang w:val="es-MX"/>
              </w:rPr>
              <w:t xml:space="preserve">a la fecha, se espera la decisión final respecto a la declaratoria de nulidad del numeral 16.2 de la Circular Externa Única que adopte el Consejo de Estado. </w:t>
            </w:r>
            <w:r w:rsidRPr="0030056F">
              <w:rPr>
                <w:rFonts w:ascii="Verdana" w:eastAsia="Arial" w:hAnsi="Verdana" w:cs="Arial"/>
                <w:lang w:val="es-MX" w:eastAsia="es-ES" w:bidi="es-ES"/>
              </w:rPr>
              <w:t>De esta manera, s</w:t>
            </w:r>
            <w:proofErr w:type="spellStart"/>
            <w:r w:rsidRPr="0030056F">
              <w:rPr>
                <w:rFonts w:ascii="Verdana" w:eastAsia="Times New Roman" w:hAnsi="Verdana" w:cs="Arial"/>
                <w:lang w:eastAsia="es-CO"/>
              </w:rPr>
              <w:t>e</w:t>
            </w:r>
            <w:proofErr w:type="spellEnd"/>
            <w:r w:rsidRPr="0030056F">
              <w:rPr>
                <w:rFonts w:ascii="Verdana" w:eastAsia="Times New Roman" w:hAnsi="Verdana" w:cs="Arial"/>
                <w:lang w:eastAsia="es-CO"/>
              </w:rPr>
              <w:t xml:space="preserve"> observa entonces que </w:t>
            </w:r>
            <w:r w:rsidRPr="0030056F">
              <w:rPr>
                <w:rFonts w:ascii="Verdana" w:eastAsia="Times New Roman" w:hAnsi="Verdana" w:cs="Arial"/>
                <w:lang w:val="es-MX" w:eastAsia="es-CO"/>
              </w:rPr>
              <w:t xml:space="preserve">el parágrafo del artículo 38 de la Ley 996 de 2005 prohíbe a los </w:t>
            </w:r>
            <w:proofErr w:type="gramStart"/>
            <w:r w:rsidRPr="0030056F">
              <w:rPr>
                <w:rFonts w:ascii="Verdana" w:eastAsia="Times New Roman" w:hAnsi="Verdana" w:cs="Arial"/>
                <w:lang w:val="es-MX" w:eastAsia="es-CO"/>
              </w:rPr>
              <w:t>Alcaldes</w:t>
            </w:r>
            <w:proofErr w:type="gramEnd"/>
            <w:r w:rsidRPr="0030056F">
              <w:rPr>
                <w:rFonts w:ascii="Verdana" w:eastAsia="Times New Roman" w:hAnsi="Verdana" w:cs="Arial"/>
                <w:lang w:val="es-MX" w:eastAsia="es-CO"/>
              </w:rPr>
              <w:t xml:space="preserve">, Gobernadores, </w:t>
            </w:r>
            <w:proofErr w:type="gramStart"/>
            <w:r w:rsidRPr="0030056F">
              <w:rPr>
                <w:rFonts w:ascii="Verdana" w:eastAsia="Times New Roman" w:hAnsi="Verdana" w:cs="Arial"/>
                <w:lang w:val="es-MX" w:eastAsia="es-CO"/>
              </w:rPr>
              <w:t>Secretarios</w:t>
            </w:r>
            <w:proofErr w:type="gramEnd"/>
            <w:r w:rsidRPr="0030056F">
              <w:rPr>
                <w:rFonts w:ascii="Verdana" w:eastAsia="Times New Roman" w:hAnsi="Verdana" w:cs="Arial"/>
                <w:lang w:val="es-MX" w:eastAsia="es-CO"/>
              </w:rPr>
              <w:t xml:space="preserve">, Gerentes y </w:t>
            </w:r>
            <w:proofErr w:type="gramStart"/>
            <w:r w:rsidRPr="0030056F">
              <w:rPr>
                <w:rFonts w:ascii="Verdana" w:eastAsia="Times New Roman" w:hAnsi="Verdana" w:cs="Arial"/>
                <w:lang w:val="es-MX" w:eastAsia="es-CO"/>
              </w:rPr>
              <w:t>Directores</w:t>
            </w:r>
            <w:proofErr w:type="gramEnd"/>
            <w:r w:rsidRPr="0030056F">
              <w:rPr>
                <w:rFonts w:ascii="Verdana" w:eastAsia="Times New Roman" w:hAnsi="Verdana" w:cs="Arial"/>
                <w:lang w:val="es-MX" w:eastAsia="es-CO"/>
              </w:rPr>
              <w:t xml:space="preserve"> de las entidades del orden municipal, departamental o distrital celebrar </w:t>
            </w:r>
            <w:r w:rsidRPr="0030056F">
              <w:rPr>
                <w:rFonts w:ascii="Verdana" w:eastAsia="Times New Roman" w:hAnsi="Verdana" w:cs="Arial"/>
                <w:i/>
                <w:iCs/>
                <w:lang w:val="es-MX" w:eastAsia="es-CO"/>
              </w:rPr>
              <w:t>convenios interadministrativos</w:t>
            </w:r>
            <w:r w:rsidRPr="0030056F">
              <w:rPr>
                <w:rFonts w:ascii="Verdana" w:eastAsia="Times New Roman" w:hAnsi="Verdana" w:cs="Arial"/>
                <w:lang w:val="es-MX" w:eastAsia="es-CO"/>
              </w:rPr>
              <w:t xml:space="preserve"> para la ejecución de recursos públicos. </w:t>
            </w:r>
          </w:p>
          <w:p w14:paraId="7EFE2986" w14:textId="77777777" w:rsidR="00225C61" w:rsidRPr="00890991" w:rsidRDefault="00225C61" w:rsidP="006270D8">
            <w:pPr>
              <w:spacing w:before="120" w:line="276" w:lineRule="auto"/>
              <w:ind w:firstLine="709"/>
              <w:jc w:val="both"/>
              <w:rPr>
                <w:rFonts w:ascii="Verdana" w:eastAsia="Arial" w:hAnsi="Verdana" w:cs="Arial"/>
                <w:lang w:val="es-MX" w:eastAsia="es-ES" w:bidi="es-ES"/>
              </w:rPr>
            </w:pPr>
            <w:r w:rsidRPr="0030056F">
              <w:rPr>
                <w:rFonts w:ascii="Verdana" w:eastAsia="Times New Roman" w:hAnsi="Verdana" w:cs="Arial"/>
                <w:lang w:val="es-MX" w:eastAsia="es-CO"/>
              </w:rPr>
              <w:t xml:space="preserve">En este sentido, si una o ambas partes de la relación contractual es una entidad de aquellas descritas en el parágrafo </w:t>
            </w:r>
            <w:r w:rsidRPr="0030056F">
              <w:rPr>
                <w:rFonts w:ascii="Verdana" w:eastAsia="Times New Roman" w:hAnsi="Verdana" w:cs="Arial"/>
                <w:i/>
                <w:lang w:val="es-MX" w:eastAsia="es-CO"/>
              </w:rPr>
              <w:t>ibidem</w:t>
            </w:r>
            <w:r w:rsidRPr="0030056F">
              <w:rPr>
                <w:rFonts w:ascii="Verdana" w:eastAsia="Times New Roman" w:hAnsi="Verdana" w:cs="Arial"/>
                <w:lang w:val="es-MX" w:eastAsia="es-CO"/>
              </w:rPr>
              <w:t xml:space="preserve">, no podrá celebrar tales </w:t>
            </w:r>
            <w:r w:rsidRPr="0030056F">
              <w:rPr>
                <w:rFonts w:ascii="Verdana" w:eastAsia="Times New Roman" w:hAnsi="Verdana" w:cs="Arial"/>
                <w:i/>
                <w:iCs/>
                <w:lang w:val="es-MX" w:eastAsia="es-CO"/>
              </w:rPr>
              <w:t>convenios</w:t>
            </w:r>
            <w:r w:rsidRPr="0030056F">
              <w:rPr>
                <w:rFonts w:ascii="Verdana" w:eastAsia="Times New Roman" w:hAnsi="Verdana" w:cs="Arial"/>
                <w:lang w:val="es-MX" w:eastAsia="es-CO"/>
              </w:rPr>
              <w:t xml:space="preserve"> durante la aplicación de la Ley de Garantías Electorales, toda vez que</w:t>
            </w:r>
            <w:r>
              <w:rPr>
                <w:rFonts w:ascii="Verdana" w:eastAsia="Times New Roman" w:hAnsi="Verdana" w:cs="Arial"/>
                <w:lang w:val="es-MX" w:eastAsia="es-CO"/>
              </w:rPr>
              <w:t>,</w:t>
            </w:r>
            <w:r w:rsidRPr="0030056F">
              <w:rPr>
                <w:rFonts w:ascii="Verdana" w:eastAsia="Times New Roman" w:hAnsi="Verdana" w:cs="Arial"/>
                <w:lang w:val="es-MX" w:eastAsia="es-CO"/>
              </w:rPr>
              <w:t xml:space="preserve"> la citada disposición </w:t>
            </w:r>
            <w:r>
              <w:rPr>
                <w:rFonts w:ascii="Verdana" w:eastAsia="Times New Roman" w:hAnsi="Verdana" w:cs="Arial"/>
                <w:lang w:val="es-MX" w:eastAsia="es-CO"/>
              </w:rPr>
              <w:t xml:space="preserve">se refiere </w:t>
            </w:r>
            <w:r w:rsidRPr="0030056F">
              <w:rPr>
                <w:rFonts w:ascii="Verdana" w:eastAsia="Times New Roman" w:hAnsi="Verdana" w:cs="Arial"/>
                <w:lang w:val="es-MX" w:eastAsia="es-CO"/>
              </w:rPr>
              <w:t>a dicha tipología contractual sin que el legislador hubiere contemplado un efecto extensivo a otra tipología. Ahora bien, como se expuso anteriormente, para esta Agencia tal restricción también cobijaría a los contratos interadministrativos</w:t>
            </w:r>
            <w:r w:rsidRPr="00E2397D">
              <w:rPr>
                <w:rFonts w:ascii="Verdana" w:eastAsia="Times New Roman" w:hAnsi="Verdana" w:cs="Arial"/>
                <w:lang w:val="es-MX" w:eastAsia="es-CO"/>
              </w:rPr>
              <w:t>.</w:t>
            </w:r>
          </w:p>
        </w:tc>
      </w:tr>
    </w:tbl>
    <w:p w14:paraId="4EB0B3D9" w14:textId="77777777" w:rsidR="00225C61" w:rsidRPr="00760383" w:rsidRDefault="00225C61" w:rsidP="00225C61">
      <w:pPr>
        <w:spacing w:after="0" w:line="276" w:lineRule="auto"/>
        <w:jc w:val="both"/>
        <w:rPr>
          <w:rFonts w:ascii="Verdana" w:eastAsia="Calibri" w:hAnsi="Verdana" w:cs="Arial"/>
          <w:bCs/>
          <w:color w:val="000000" w:themeColor="text1"/>
        </w:rPr>
      </w:pPr>
    </w:p>
    <w:p w14:paraId="6BF07DF2" w14:textId="77777777" w:rsidR="00225C61" w:rsidRPr="00760383" w:rsidRDefault="00225C61" w:rsidP="00225C61">
      <w:pPr>
        <w:numPr>
          <w:ilvl w:val="0"/>
          <w:numId w:val="19"/>
        </w:numPr>
        <w:tabs>
          <w:tab w:val="left" w:pos="2268"/>
        </w:tabs>
        <w:spacing w:after="0" w:line="276" w:lineRule="auto"/>
        <w:rPr>
          <w:rFonts w:ascii="Verdana" w:eastAsia="Calibri" w:hAnsi="Verdana" w:cs="Times New Roman"/>
          <w:b/>
          <w:bCs/>
          <w:lang w:val="es-ES"/>
        </w:rPr>
      </w:pPr>
      <w:r w:rsidRPr="00760383">
        <w:rPr>
          <w:rFonts w:ascii="Verdana" w:eastAsia="Calibri" w:hAnsi="Verdana" w:cs="Times New Roman"/>
          <w:b/>
          <w:bCs/>
          <w:lang w:val="es-ES"/>
        </w:rPr>
        <w:t>Razones de la respuesta:</w:t>
      </w:r>
    </w:p>
    <w:p w14:paraId="041C9F42" w14:textId="77777777" w:rsidR="00225C61" w:rsidRPr="00760383" w:rsidRDefault="00225C61" w:rsidP="00225C61">
      <w:pPr>
        <w:spacing w:after="0" w:line="276" w:lineRule="auto"/>
        <w:rPr>
          <w:rFonts w:ascii="Verdana" w:eastAsia="Calibri" w:hAnsi="Verdana" w:cs="Times New Roman"/>
          <w:b/>
          <w:bCs/>
          <w:lang w:val="es-ES"/>
        </w:rPr>
      </w:pPr>
    </w:p>
    <w:p w14:paraId="591661A5" w14:textId="77777777" w:rsidR="00225C61" w:rsidRPr="00760383" w:rsidRDefault="00225C61" w:rsidP="00225C61">
      <w:pPr>
        <w:spacing w:after="0" w:line="276" w:lineRule="auto"/>
        <w:jc w:val="both"/>
        <w:rPr>
          <w:rFonts w:ascii="Verdana" w:eastAsia="Calibri" w:hAnsi="Verdana" w:cs="Arial"/>
          <w:lang w:val="es-ES"/>
        </w:rPr>
      </w:pPr>
      <w:r w:rsidRPr="00760383">
        <w:rPr>
          <w:rFonts w:ascii="Verdana" w:eastAsia="Calibri" w:hAnsi="Verdana" w:cs="Arial"/>
          <w:lang w:val="es-ES"/>
        </w:rPr>
        <w:t xml:space="preserve">Lo anterior se sustenta en las siguientes consideraciones: </w:t>
      </w:r>
    </w:p>
    <w:p w14:paraId="4AACD966" w14:textId="77777777" w:rsidR="00225C61" w:rsidRPr="00760383" w:rsidRDefault="00225C61" w:rsidP="00225C61">
      <w:pPr>
        <w:spacing w:after="0" w:line="276" w:lineRule="auto"/>
        <w:jc w:val="both"/>
        <w:rPr>
          <w:rFonts w:ascii="Verdana" w:eastAsia="Calibri" w:hAnsi="Verdana" w:cs="Arial"/>
          <w:color w:val="000000" w:themeColor="text1"/>
        </w:rPr>
      </w:pPr>
    </w:p>
    <w:p w14:paraId="641CEB74" w14:textId="77777777" w:rsidR="00225C61" w:rsidRPr="00760383" w:rsidRDefault="00225C61" w:rsidP="00225C61">
      <w:pPr>
        <w:tabs>
          <w:tab w:val="left" w:pos="426"/>
        </w:tabs>
        <w:spacing w:after="120" w:line="276" w:lineRule="auto"/>
        <w:jc w:val="both"/>
        <w:rPr>
          <w:rFonts w:ascii="Verdana" w:eastAsia="Times New Roman" w:hAnsi="Verdana" w:cs="Arial"/>
          <w:lang w:eastAsia="es-CO"/>
        </w:rPr>
      </w:pPr>
      <w:r w:rsidRPr="00760383">
        <w:rPr>
          <w:rFonts w:ascii="Verdana" w:eastAsia="Calibri" w:hAnsi="Verdana" w:cs="Arial"/>
        </w:rPr>
        <w:t>i. El ordenamiento jurídico colombiano contempla previsiones claras para evitar la obtención de beneficios personales en asuntos propios de la administración pública</w:t>
      </w:r>
      <w:r w:rsidRPr="00760383">
        <w:rPr>
          <w:rFonts w:ascii="Verdana" w:eastAsia="Calibri" w:hAnsi="Verdana" w:cs="Arial"/>
          <w:i/>
        </w:rPr>
        <w:t xml:space="preserve">. </w:t>
      </w:r>
      <w:r w:rsidRPr="00760383">
        <w:rPr>
          <w:rFonts w:ascii="Verdana" w:eastAsia="Calibri" w:hAnsi="Verdana" w:cs="Arial"/>
        </w:rPr>
        <w:t xml:space="preserve">Por ejemplo, el artículo 127 de la Constitución Política establece una prohibición contractual a los servidores públicos y, en cuanto a aspectos </w:t>
      </w:r>
      <w:r w:rsidRPr="00760383">
        <w:rPr>
          <w:rFonts w:ascii="Verdana" w:eastAsia="Calibri" w:hAnsi="Verdana" w:cs="Arial"/>
        </w:rPr>
        <w:lastRenderedPageBreak/>
        <w:t>políticos, establece restricciones a ciertos empleados del Estado, incluso en época no electoral</w:t>
      </w:r>
      <w:r w:rsidRPr="00834E33">
        <w:rPr>
          <w:rFonts w:ascii="Verdana" w:hAnsi="Verdana"/>
          <w:vertAlign w:val="superscript"/>
        </w:rPr>
        <w:footnoteReference w:id="2"/>
      </w:r>
      <w:r w:rsidRPr="00760383">
        <w:rPr>
          <w:rFonts w:ascii="Verdana" w:eastAsia="Calibri" w:hAnsi="Verdana" w:cs="Arial"/>
        </w:rPr>
        <w:t xml:space="preserve">. </w:t>
      </w:r>
    </w:p>
    <w:p w14:paraId="4481B355" w14:textId="77777777" w:rsidR="00225C61" w:rsidRPr="00760383" w:rsidRDefault="00225C61" w:rsidP="00225C61">
      <w:pPr>
        <w:tabs>
          <w:tab w:val="left" w:pos="426"/>
        </w:tabs>
        <w:spacing w:after="0" w:line="276" w:lineRule="auto"/>
        <w:ind w:firstLine="709"/>
        <w:jc w:val="both"/>
        <w:rPr>
          <w:rFonts w:ascii="Verdana" w:eastAsia="Calibri" w:hAnsi="Verdana" w:cs="Arial"/>
          <w:lang w:val="es-ES_tradnl"/>
        </w:rPr>
      </w:pPr>
      <w:r w:rsidRPr="00760383">
        <w:rPr>
          <w:rFonts w:ascii="Verdana" w:eastAsia="Times New Roman" w:hAnsi="Verdana" w:cs="Arial"/>
          <w:lang w:eastAsia="es-CO"/>
        </w:rPr>
        <w:t>En el mismo sentido</w:t>
      </w:r>
      <w:r w:rsidRPr="00760383">
        <w:rPr>
          <w:rFonts w:ascii="Verdana" w:eastAsia="Times New Roman" w:hAnsi="Verdana" w:cs="Arial"/>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760383">
        <w:rPr>
          <w:rFonts w:ascii="Verdana" w:eastAsia="Times New Roman" w:hAnsi="Verdana" w:cs="Arial"/>
          <w:vertAlign w:val="superscript"/>
          <w:lang w:val="es-MX" w:eastAsia="es-CO"/>
        </w:rPr>
        <w:footnoteReference w:id="3"/>
      </w:r>
      <w:r w:rsidRPr="00760383">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760383">
        <w:rPr>
          <w:rFonts w:ascii="Verdana" w:eastAsia="Calibri" w:hAnsi="Verdana" w:cs="Arial"/>
          <w:lang w:val="es-ES_tradnl"/>
        </w:rPr>
        <w:t xml:space="preserve"> </w:t>
      </w:r>
      <w:r w:rsidRPr="00760383">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3EC996D3" w14:textId="77777777" w:rsidR="00225C61" w:rsidRPr="00760383" w:rsidRDefault="00225C61" w:rsidP="00225C61">
      <w:pPr>
        <w:spacing w:after="0" w:line="276" w:lineRule="auto"/>
        <w:ind w:right="709"/>
        <w:contextualSpacing/>
        <w:jc w:val="both"/>
        <w:rPr>
          <w:rFonts w:ascii="Verdana" w:eastAsia="Times New Roman" w:hAnsi="Verdana" w:cs="Arial"/>
          <w:lang w:val="es-ES" w:eastAsia="es-CO"/>
        </w:rPr>
      </w:pPr>
    </w:p>
    <w:p w14:paraId="56ABF96A" w14:textId="77777777" w:rsidR="00225C61" w:rsidRPr="00834E33" w:rsidRDefault="00225C61" w:rsidP="00225C61">
      <w:pPr>
        <w:spacing w:after="0" w:line="240" w:lineRule="auto"/>
        <w:ind w:left="709" w:right="709"/>
        <w:contextualSpacing/>
        <w:jc w:val="both"/>
        <w:rPr>
          <w:rFonts w:ascii="Verdana" w:eastAsia="Times New Roman" w:hAnsi="Verdana" w:cs="Arial"/>
          <w:sz w:val="21"/>
          <w:szCs w:val="21"/>
          <w:lang w:val="es-MX" w:eastAsia="es-CO"/>
        </w:rPr>
      </w:pPr>
      <w:r w:rsidRPr="00834E33">
        <w:rPr>
          <w:rFonts w:ascii="Verdana" w:eastAsia="Times New Roman" w:hAnsi="Verdana" w:cs="Arial"/>
          <w:sz w:val="21"/>
          <w:szCs w:val="21"/>
          <w:lang w:val="es-ES" w:eastAsia="es-CO"/>
        </w:rPr>
        <w:t xml:space="preserve">“[…] </w:t>
      </w:r>
      <w:r w:rsidRPr="00834E33">
        <w:rPr>
          <w:rFonts w:ascii="Verdana" w:eastAsia="Times New Roman" w:hAnsi="Verdana" w:cs="Arial"/>
          <w:sz w:val="21"/>
          <w:szCs w:val="21"/>
          <w:lang w:val="es-MX" w:eastAsia="es-CO"/>
        </w:rPr>
        <w:t>la definición de reglas claras que permitan acceder a los canales de expresión democrática de manera efectiva e igualitaria. El objetivo de una ley de garantías es definir esas reglas.</w:t>
      </w:r>
    </w:p>
    <w:p w14:paraId="1E8C2C67" w14:textId="77777777" w:rsidR="00225C61" w:rsidRPr="00834E33" w:rsidRDefault="00225C61" w:rsidP="00225C61">
      <w:pPr>
        <w:spacing w:after="0" w:line="240" w:lineRule="auto"/>
        <w:ind w:left="709" w:right="709"/>
        <w:contextualSpacing/>
        <w:jc w:val="both"/>
        <w:rPr>
          <w:rFonts w:ascii="Verdana" w:eastAsia="Times New Roman" w:hAnsi="Verdana" w:cs="Arial"/>
          <w:sz w:val="21"/>
          <w:szCs w:val="21"/>
          <w:lang w:val="es-MX" w:eastAsia="es-CO"/>
        </w:rPr>
      </w:pPr>
      <w:r w:rsidRPr="00834E33">
        <w:rPr>
          <w:rFonts w:ascii="Verdana" w:eastAsia="Times New Roman" w:hAnsi="Verdana" w:cs="Arial"/>
          <w:sz w:val="21"/>
          <w:szCs w:val="21"/>
          <w:lang w:val="es-MX" w:eastAsia="es-CO"/>
        </w:rPr>
        <w:t xml:space="preserve">[…] </w:t>
      </w:r>
    </w:p>
    <w:p w14:paraId="02903D8B" w14:textId="77777777" w:rsidR="00225C61" w:rsidRPr="00834E33" w:rsidRDefault="00225C61" w:rsidP="00225C61">
      <w:pPr>
        <w:spacing w:after="0" w:line="240" w:lineRule="auto"/>
        <w:ind w:left="709" w:right="709"/>
        <w:contextualSpacing/>
        <w:jc w:val="both"/>
        <w:rPr>
          <w:rFonts w:ascii="Verdana" w:eastAsia="Times New Roman" w:hAnsi="Verdana" w:cs="Arial"/>
          <w:sz w:val="21"/>
          <w:szCs w:val="21"/>
          <w:lang w:val="es-MX" w:eastAsia="es-CO"/>
        </w:rPr>
      </w:pPr>
      <w:r w:rsidRPr="00834E33">
        <w:rPr>
          <w:rFonts w:ascii="Verdana" w:eastAsia="Times New Roman" w:hAnsi="Verdana" w:cs="Arial"/>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834E33">
        <w:rPr>
          <w:rFonts w:ascii="Verdana" w:eastAsia="Calibri" w:hAnsi="Verdana" w:cs="Arial"/>
          <w:sz w:val="21"/>
          <w:szCs w:val="21"/>
          <w:vertAlign w:val="superscript"/>
          <w:lang w:val="es-MX"/>
        </w:rPr>
        <w:footnoteReference w:id="4"/>
      </w:r>
    </w:p>
    <w:p w14:paraId="7295B3F7" w14:textId="77777777" w:rsidR="00225C61" w:rsidRPr="00E2397D" w:rsidRDefault="00225C61" w:rsidP="00225C61">
      <w:pPr>
        <w:spacing w:after="0" w:line="276" w:lineRule="auto"/>
        <w:ind w:firstLine="709"/>
        <w:jc w:val="both"/>
        <w:rPr>
          <w:rFonts w:ascii="Verdana" w:eastAsia="Times New Roman" w:hAnsi="Verdana" w:cs="Arial"/>
          <w:lang w:val="es-MX" w:eastAsia="es-CO"/>
        </w:rPr>
      </w:pPr>
    </w:p>
    <w:p w14:paraId="74260CF5" w14:textId="77777777" w:rsidR="00225C61" w:rsidRPr="00E2397D" w:rsidRDefault="00225C61" w:rsidP="00225C61">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w:t>
      </w:r>
      <w:r>
        <w:rPr>
          <w:rFonts w:ascii="Verdana" w:eastAsia="Times New Roman" w:hAnsi="Verdana" w:cs="Arial"/>
          <w:lang w:val="es-MX" w:eastAsia="es-CO"/>
        </w:rPr>
        <w:lastRenderedPageBreak/>
        <w:t>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72CBF814" w14:textId="77777777" w:rsidR="00225C61" w:rsidRPr="00886C02" w:rsidRDefault="00225C61" w:rsidP="00225C61">
      <w:pPr>
        <w:spacing w:after="0" w:line="276" w:lineRule="auto"/>
        <w:ind w:firstLine="709"/>
        <w:jc w:val="both"/>
        <w:rPr>
          <w:rFonts w:ascii="Verdana" w:eastAsia="Times New Roman" w:hAnsi="Verdana" w:cs="Arial"/>
          <w:lang w:val="es-MX" w:eastAsia="es-CO"/>
        </w:rPr>
      </w:pPr>
    </w:p>
    <w:p w14:paraId="15F918D2" w14:textId="77777777" w:rsidR="00225C61" w:rsidRPr="0010534D" w:rsidRDefault="00225C61" w:rsidP="00225C61">
      <w:pPr>
        <w:spacing w:after="0" w:line="240" w:lineRule="auto"/>
        <w:ind w:left="709" w:right="709"/>
        <w:contextualSpacing/>
        <w:jc w:val="both"/>
        <w:rPr>
          <w:rFonts w:ascii="Verdana" w:eastAsia="Times New Roman" w:hAnsi="Verdana" w:cs="Arial"/>
          <w:sz w:val="21"/>
          <w:szCs w:val="21"/>
          <w:lang w:val="es-MX" w:eastAsia="es-CO"/>
        </w:rPr>
      </w:pPr>
      <w:r w:rsidRPr="0010534D">
        <w:rPr>
          <w:rFonts w:ascii="Verdana" w:eastAsia="Times New Roman" w:hAnsi="Verdana" w:cs="Arial"/>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10534D">
        <w:rPr>
          <w:rFonts w:ascii="Verdana" w:eastAsia="Times New Roman" w:hAnsi="Verdana" w:cs="Arial"/>
          <w:sz w:val="21"/>
          <w:szCs w:val="21"/>
          <w:lang w:val="es-MX" w:eastAsia="es-CO"/>
        </w:rPr>
        <w:t>legis</w:t>
      </w:r>
      <w:proofErr w:type="spellEnd"/>
      <w:r w:rsidRPr="0010534D">
        <w:rPr>
          <w:rFonts w:ascii="Verdana" w:eastAsia="Times New Roman" w:hAnsi="Verdana" w:cs="Arial"/>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039E604" w14:textId="77777777" w:rsidR="00225C61" w:rsidRPr="0010534D" w:rsidRDefault="00225C61" w:rsidP="00225C61">
      <w:pPr>
        <w:spacing w:after="0" w:line="240" w:lineRule="auto"/>
        <w:ind w:right="709"/>
        <w:contextualSpacing/>
        <w:jc w:val="both"/>
        <w:rPr>
          <w:rFonts w:ascii="Verdana" w:eastAsia="Times New Roman" w:hAnsi="Verdana" w:cs="Arial"/>
          <w:sz w:val="21"/>
          <w:szCs w:val="21"/>
          <w:lang w:val="es-MX" w:eastAsia="es-CO"/>
        </w:rPr>
      </w:pPr>
    </w:p>
    <w:p w14:paraId="1839E3FF" w14:textId="77777777" w:rsidR="00225C61" w:rsidRPr="0010534D" w:rsidRDefault="00225C61" w:rsidP="00225C61">
      <w:pPr>
        <w:spacing w:after="0" w:line="240" w:lineRule="auto"/>
        <w:ind w:left="709" w:right="709"/>
        <w:contextualSpacing/>
        <w:jc w:val="both"/>
        <w:rPr>
          <w:rFonts w:ascii="Verdana" w:eastAsia="Times New Roman" w:hAnsi="Verdana" w:cs="Arial"/>
          <w:sz w:val="21"/>
          <w:szCs w:val="21"/>
          <w:lang w:val="es-MX" w:eastAsia="es-CO"/>
        </w:rPr>
      </w:pPr>
      <w:r w:rsidRPr="0010534D">
        <w:rPr>
          <w:rFonts w:ascii="Verdana" w:eastAsia="Times New Roman" w:hAnsi="Verdana" w:cs="Arial"/>
          <w:sz w:val="21"/>
          <w:szCs w:val="21"/>
          <w:lang w:val="es-MX" w:eastAsia="es-CO"/>
        </w:rPr>
        <w:t>La jurisprudencia de la Corte Constitucional</w:t>
      </w:r>
      <w:r w:rsidRPr="0010534D">
        <w:rPr>
          <w:rFonts w:ascii="Verdana" w:eastAsia="Times New Roman" w:hAnsi="Verdana" w:cs="Arial"/>
          <w:sz w:val="21"/>
          <w:szCs w:val="21"/>
          <w:vertAlign w:val="superscript"/>
          <w:lang w:val="es-MX" w:eastAsia="es-CO"/>
        </w:rPr>
        <w:footnoteReference w:id="5"/>
      </w:r>
      <w:r w:rsidRPr="0010534D">
        <w:rPr>
          <w:rFonts w:ascii="Verdana" w:eastAsia="Times New Roman" w:hAnsi="Verdana" w:cs="Arial"/>
          <w:sz w:val="21"/>
          <w:szCs w:val="21"/>
          <w:lang w:val="es-MX" w:eastAsia="es-CO"/>
        </w:rPr>
        <w:t> y del Consejo de Estado</w:t>
      </w:r>
      <w:r w:rsidRPr="0010534D">
        <w:rPr>
          <w:rFonts w:ascii="Verdana" w:eastAsia="Times New Roman" w:hAnsi="Verdana" w:cs="Arial"/>
          <w:sz w:val="21"/>
          <w:szCs w:val="21"/>
          <w:vertAlign w:val="superscript"/>
          <w:lang w:val="es-MX" w:eastAsia="es-CO"/>
        </w:rPr>
        <w:footnoteReference w:id="6"/>
      </w:r>
      <w:r w:rsidRPr="0010534D">
        <w:rPr>
          <w:rFonts w:ascii="Verdana" w:eastAsia="Times New Roman" w:hAnsi="Verdana" w:cs="Arial"/>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10534D">
        <w:rPr>
          <w:rFonts w:ascii="Verdana" w:eastAsia="Times New Roman" w:hAnsi="Verdana" w:cs="Arial"/>
          <w:sz w:val="21"/>
          <w:szCs w:val="21"/>
          <w:vertAlign w:val="superscript"/>
          <w:lang w:val="es-MX" w:eastAsia="es-CO"/>
        </w:rPr>
        <w:footnoteReference w:id="7"/>
      </w:r>
      <w:r w:rsidRPr="0010534D">
        <w:rPr>
          <w:rFonts w:ascii="Verdana" w:eastAsia="Times New Roman" w:hAnsi="Verdana" w:cs="Arial"/>
          <w:sz w:val="21"/>
          <w:szCs w:val="21"/>
          <w:lang w:val="es-MX" w:eastAsia="es-CO"/>
        </w:rPr>
        <w:t>.</w:t>
      </w:r>
    </w:p>
    <w:p w14:paraId="7FEC7E7B" w14:textId="77777777" w:rsidR="00225C61" w:rsidRPr="00E2397D" w:rsidRDefault="00225C61" w:rsidP="00225C61">
      <w:pPr>
        <w:spacing w:after="0" w:line="276" w:lineRule="auto"/>
        <w:jc w:val="both"/>
        <w:rPr>
          <w:rFonts w:ascii="Verdana" w:eastAsia="Calibri" w:hAnsi="Verdana" w:cs="Arial"/>
          <w:bCs/>
          <w:lang w:val="es-ES_tradnl"/>
        </w:rPr>
      </w:pPr>
    </w:p>
    <w:p w14:paraId="2EBD3483" w14:textId="77777777" w:rsidR="00225C61" w:rsidRDefault="00225C61" w:rsidP="00225C61">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w:t>
      </w:r>
      <w:r w:rsidRPr="00E2397D">
        <w:rPr>
          <w:rFonts w:ascii="Verdana" w:eastAsia="Arial" w:hAnsi="Verdana" w:cs="Arial"/>
          <w:lang w:val="es-ES" w:eastAsia="es-ES" w:bidi="es-ES"/>
        </w:rPr>
        <w:lastRenderedPageBreak/>
        <w:t xml:space="preserve">siquiera sospecha de que, por ese medio, en los periodos previos a la contienda electoral, se altere las condiciones de igualdad entre los candidatos. </w:t>
      </w:r>
    </w:p>
    <w:p w14:paraId="2B945AEF" w14:textId="77777777" w:rsidR="00225C61" w:rsidRPr="00E2397D" w:rsidRDefault="00225C61" w:rsidP="00225C61">
      <w:pPr>
        <w:spacing w:after="0" w:line="276" w:lineRule="auto"/>
        <w:ind w:firstLine="709"/>
        <w:jc w:val="both"/>
        <w:rPr>
          <w:rFonts w:ascii="Verdana" w:eastAsia="Arial" w:hAnsi="Verdana" w:cs="Arial"/>
          <w:lang w:val="es-ES" w:eastAsia="es-ES" w:bidi="es-ES"/>
        </w:rPr>
      </w:pPr>
    </w:p>
    <w:p w14:paraId="75715864" w14:textId="77777777" w:rsidR="00225C61" w:rsidRPr="00E2397D" w:rsidRDefault="00225C61" w:rsidP="00225C61">
      <w:pPr>
        <w:spacing w:after="120" w:line="276" w:lineRule="auto"/>
        <w:jc w:val="both"/>
        <w:rPr>
          <w:rFonts w:ascii="Verdana" w:eastAsia="Arial" w:hAnsi="Verdana" w:cs="Arial"/>
          <w:lang w:val="es-ES" w:eastAsia="es-ES" w:bidi="es-ES"/>
        </w:rPr>
      </w:pPr>
      <w:proofErr w:type="spellStart"/>
      <w:r w:rsidRPr="00E2397D">
        <w:rPr>
          <w:rFonts w:ascii="Verdana" w:eastAsia="Arial" w:hAnsi="Verdana" w:cs="Arial"/>
          <w:lang w:val="es-ES" w:eastAsia="es-ES" w:bidi="es-ES"/>
        </w:rPr>
        <w:t>ii</w:t>
      </w:r>
      <w:proofErr w:type="spellEnd"/>
      <w:r w:rsidRPr="00E2397D">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1858DECE" w14:textId="77777777" w:rsidR="00225C61" w:rsidRPr="00E2397D" w:rsidRDefault="00225C61" w:rsidP="00225C61">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8"/>
      </w:r>
      <w:r w:rsidRPr="00E2397D">
        <w:rPr>
          <w:rFonts w:ascii="Verdana" w:eastAsia="Calibri" w:hAnsi="Verdana" w:cs="Arial"/>
        </w:rPr>
        <w:t>.</w:t>
      </w:r>
    </w:p>
    <w:p w14:paraId="24683CA9" w14:textId="77777777" w:rsidR="00225C61" w:rsidRDefault="00225C61" w:rsidP="00225C61">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r w:rsidRPr="00E2397D">
        <w:rPr>
          <w:rFonts w:ascii="Verdana" w:eastAsia="Calibri" w:hAnsi="Verdana" w:cs="Arial"/>
          <w:vertAlign w:val="superscript"/>
        </w:rPr>
        <w:footnoteReference w:id="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4DEBDF3C" w14:textId="77777777" w:rsidR="00225C61" w:rsidRDefault="00225C61" w:rsidP="00225C61">
      <w:pPr>
        <w:spacing w:before="120"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lastRenderedPageBreak/>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En efecto, el concepto de celebración en el marco de la contratación estatal se relaciona con el perfeccionamiento, es decir, con los requisitos para que exista un contrato estatal. </w:t>
      </w:r>
    </w:p>
    <w:p w14:paraId="6CDFD158" w14:textId="77777777" w:rsidR="00225C61" w:rsidRPr="00C056DC" w:rsidRDefault="00225C61" w:rsidP="00225C61">
      <w:pPr>
        <w:spacing w:before="120" w:after="120" w:line="276" w:lineRule="auto"/>
        <w:ind w:firstLine="708"/>
        <w:jc w:val="both"/>
        <w:rPr>
          <w:rFonts w:ascii="Verdana" w:eastAsia="Times New Roman" w:hAnsi="Verdana" w:cs="Arial"/>
          <w:bCs/>
          <w:lang w:eastAsia="es-CO"/>
        </w:rPr>
      </w:pPr>
      <w:r>
        <w:rPr>
          <w:rFonts w:ascii="Verdana" w:eastAsia="Times New Roman" w:hAnsi="Verdana" w:cs="Arial"/>
          <w:bCs/>
          <w:lang w:eastAsia="es-CO"/>
        </w:rPr>
        <w:t xml:space="preserve">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proofErr w:type="spellStart"/>
      <w:r w:rsidRPr="00447D82">
        <w:rPr>
          <w:rFonts w:ascii="Verdana" w:eastAsia="Times New Roman" w:hAnsi="Verdana" w:cs="Arial"/>
          <w:bCs/>
          <w:i/>
          <w:lang w:val="es-ES" w:eastAsia="es-CO"/>
        </w:rPr>
        <w:t>ibídem</w:t>
      </w:r>
      <w:proofErr w:type="spellEnd"/>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616F00EC" w14:textId="77777777" w:rsidR="00225C61" w:rsidRPr="00894384" w:rsidRDefault="00225C61" w:rsidP="00225C61">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Así 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p>
    <w:p w14:paraId="7A83438F" w14:textId="77777777" w:rsidR="00225C61" w:rsidRPr="00E2397D" w:rsidRDefault="00225C61" w:rsidP="00225C61">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18C3BF63" w14:textId="77777777" w:rsidR="00225C61" w:rsidRPr="00E2397D" w:rsidRDefault="00225C61" w:rsidP="00225C61">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2891E4F3" w14:textId="77777777" w:rsidR="00225C61" w:rsidRPr="00834E33" w:rsidRDefault="00225C61" w:rsidP="00225C61">
      <w:pPr>
        <w:widowControl w:val="0"/>
        <w:autoSpaceDE w:val="0"/>
        <w:autoSpaceDN w:val="0"/>
        <w:spacing w:after="0" w:line="240" w:lineRule="auto"/>
        <w:ind w:left="709" w:right="709"/>
        <w:jc w:val="both"/>
        <w:rPr>
          <w:rFonts w:ascii="Verdana" w:eastAsia="Arial" w:hAnsi="Verdana" w:cs="Arial"/>
          <w:sz w:val="21"/>
          <w:szCs w:val="21"/>
          <w:lang w:eastAsia="es-ES" w:bidi="es-ES"/>
        </w:rPr>
      </w:pPr>
      <w:r w:rsidRPr="00834E33">
        <w:rPr>
          <w:rFonts w:ascii="Verdana" w:eastAsia="Arial" w:hAnsi="Verdana" w:cs="Arial"/>
          <w:sz w:val="21"/>
          <w:szCs w:val="21"/>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w:t>
      </w:r>
      <w:r w:rsidRPr="00834E33">
        <w:rPr>
          <w:rFonts w:ascii="Verdana" w:eastAsia="Arial" w:hAnsi="Verdana" w:cs="Arial"/>
          <w:sz w:val="21"/>
          <w:szCs w:val="21"/>
          <w:lang w:eastAsia="es-ES" w:bidi="es-ES"/>
        </w:rPr>
        <w:lastRenderedPageBreak/>
        <w:t xml:space="preserve">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834E33">
        <w:rPr>
          <w:rFonts w:ascii="Verdana" w:eastAsia="Arial" w:hAnsi="Verdana" w:cs="Arial"/>
          <w:sz w:val="21"/>
          <w:szCs w:val="21"/>
          <w:lang w:eastAsia="es-ES" w:bidi="es-ES"/>
        </w:rPr>
        <w:t>Presidente</w:t>
      </w:r>
      <w:proofErr w:type="gramEnd"/>
      <w:r w:rsidRPr="00834E33">
        <w:rPr>
          <w:rFonts w:ascii="Verdana" w:eastAsia="Arial" w:hAnsi="Verdana" w:cs="Arial"/>
          <w:sz w:val="21"/>
          <w:szCs w:val="21"/>
          <w:lang w:eastAsia="es-ES" w:bidi="es-ES"/>
        </w:rPr>
        <w:t xml:space="preserve"> de la República, a las autoridades territoriales allí mencionadas sólo se aplican las restricciones contenidas en el parágrafo del artículo 38”.</w:t>
      </w:r>
      <w:r w:rsidRPr="00834E33">
        <w:rPr>
          <w:rFonts w:ascii="Verdana" w:eastAsia="Arial" w:hAnsi="Verdana" w:cs="Arial"/>
          <w:sz w:val="21"/>
          <w:szCs w:val="21"/>
          <w:vertAlign w:val="superscript"/>
          <w:lang w:eastAsia="es-ES" w:bidi="es-ES"/>
        </w:rPr>
        <w:footnoteReference w:id="11"/>
      </w:r>
    </w:p>
    <w:p w14:paraId="000909A9" w14:textId="77777777" w:rsidR="00225C61" w:rsidRPr="00E2397D" w:rsidRDefault="00225C61" w:rsidP="00225C61">
      <w:pPr>
        <w:widowControl w:val="0"/>
        <w:autoSpaceDE w:val="0"/>
        <w:autoSpaceDN w:val="0"/>
        <w:spacing w:after="0" w:line="276" w:lineRule="auto"/>
        <w:contextualSpacing/>
        <w:rPr>
          <w:rFonts w:ascii="Verdana" w:eastAsia="Arial" w:hAnsi="Verdana" w:cs="Arial"/>
          <w:lang w:val="es-ES" w:eastAsia="es-ES" w:bidi="es-ES"/>
        </w:rPr>
      </w:pPr>
    </w:p>
    <w:p w14:paraId="75C44187" w14:textId="77777777" w:rsidR="00225C61" w:rsidRPr="00E2397D" w:rsidRDefault="00225C61" w:rsidP="00225C61">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0512CD89" w14:textId="77777777" w:rsidR="00225C61" w:rsidRPr="00E2397D" w:rsidRDefault="00225C61" w:rsidP="00225C61">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3D63BAD7" w14:textId="77777777" w:rsidR="00225C61" w:rsidRDefault="00225C61" w:rsidP="00225C61">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o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desde que éstos –</w:t>
      </w:r>
      <w:r w:rsidRPr="00E2397D">
        <w:rPr>
          <w:rFonts w:ascii="Verdana" w:eastAsia="Arial" w:hAnsi="Verdana" w:cs="Arial"/>
          <w:lang w:val="es-ES" w:eastAsia="es-ES" w:bidi="es-ES"/>
        </w:rPr>
        <w:lastRenderedPageBreak/>
        <w:t xml:space="preserve">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y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36039B2E" w14:textId="77777777" w:rsidR="00225C61" w:rsidRPr="00E2397D" w:rsidRDefault="00225C61" w:rsidP="00225C61">
      <w:pPr>
        <w:spacing w:after="120" w:line="276" w:lineRule="auto"/>
        <w:ind w:firstLine="708"/>
        <w:jc w:val="both"/>
        <w:rPr>
          <w:rFonts w:ascii="Verdana" w:eastAsia="Arial" w:hAnsi="Verdana" w:cs="Arial"/>
          <w:lang w:val="es-ES" w:eastAsia="es-ES" w:bidi="es-ES"/>
        </w:rPr>
      </w:pPr>
      <w:r w:rsidRPr="00E2397D">
        <w:rPr>
          <w:rFonts w:ascii="Verdana" w:eastAsia="Arial" w:hAnsi="Verdana" w:cs="Arial"/>
          <w:lang w:val="es-ES" w:eastAsia="es-ES" w:bidi="es-ES"/>
        </w:rPr>
        <w:t xml:space="preserve"> </w:t>
      </w:r>
    </w:p>
    <w:p w14:paraId="4364FBB8" w14:textId="77777777" w:rsidR="00225C61" w:rsidRDefault="00225C61" w:rsidP="00225C61">
      <w:pPr>
        <w:spacing w:after="120" w:line="276" w:lineRule="auto"/>
        <w:jc w:val="both"/>
        <w:rPr>
          <w:rFonts w:ascii="Verdana" w:eastAsia="Times New Roman" w:hAnsi="Verdana" w:cs="Arial"/>
          <w:lang w:val="es-MX" w:eastAsia="x-none"/>
        </w:rPr>
      </w:pPr>
      <w:proofErr w:type="spellStart"/>
      <w:r>
        <w:rPr>
          <w:rFonts w:ascii="Verdana" w:eastAsia="Arial" w:hAnsi="Verdana" w:cs="Arial"/>
          <w:lang w:val="es-ES" w:eastAsia="es-ES" w:bidi="es-ES"/>
        </w:rPr>
        <w:t>iii</w:t>
      </w:r>
      <w:proofErr w:type="spellEnd"/>
      <w:r>
        <w:rPr>
          <w:rFonts w:ascii="Verdana" w:eastAsia="Arial" w:hAnsi="Verdana" w:cs="Arial"/>
          <w:lang w:val="es-ES" w:eastAsia="es-ES" w:bidi="es-ES"/>
        </w:rPr>
        <w:t>. Para</w:t>
      </w:r>
      <w:r w:rsidRPr="00E2397D">
        <w:rPr>
          <w:rFonts w:ascii="Verdana" w:eastAsia="Calibri" w:hAnsi="Verdana" w:cs="Arial"/>
          <w:lang w:eastAsia="es-ES" w:bidi="es-ES"/>
        </w:rPr>
        <w:t xml:space="preserve"> </w:t>
      </w:r>
      <w:r>
        <w:rPr>
          <w:rFonts w:ascii="Verdana" w:eastAsia="Calibri" w:hAnsi="Verdana" w:cs="Arial"/>
          <w:lang w:eastAsia="es-ES" w:bidi="es-ES"/>
        </w:rPr>
        <w:t xml:space="preserve">responder al problema jurídico </w:t>
      </w:r>
      <w:r w:rsidRPr="00E2397D">
        <w:rPr>
          <w:rFonts w:ascii="Verdana" w:eastAsia="Calibri" w:hAnsi="Verdana" w:cs="Arial"/>
          <w:lang w:eastAsia="es-ES" w:bidi="es-ES"/>
        </w:rPr>
        <w:t xml:space="preserve">planteado resulta necesario precisar el alcance de la prohibición </w:t>
      </w:r>
      <w:r w:rsidRPr="00E2397D">
        <w:rPr>
          <w:rFonts w:ascii="Verdana" w:eastAsia="Arial" w:hAnsi="Verdana" w:cs="Arial"/>
          <w:lang w:val="es-ES" w:eastAsia="es-ES" w:bidi="es-ES"/>
        </w:rPr>
        <w:t>establecida en e</w:t>
      </w:r>
      <w:r w:rsidRPr="00E2397D">
        <w:rPr>
          <w:rFonts w:ascii="Verdana" w:eastAsia="Calibri" w:hAnsi="Verdana" w:cs="Arial"/>
        </w:rPr>
        <w:t>l parágrafo del artículo 38 de la Ley 996 de 2005. La citada norm</w:t>
      </w:r>
      <w:r>
        <w:rPr>
          <w:rFonts w:ascii="Verdana" w:eastAsia="Calibri" w:hAnsi="Verdana" w:cs="Arial"/>
        </w:rPr>
        <w:t xml:space="preserve">a dispone: </w:t>
      </w:r>
      <w:r w:rsidRPr="00E2397D">
        <w:rPr>
          <w:rFonts w:ascii="Verdana" w:eastAsia="Calibri" w:hAnsi="Verdana" w:cs="Arial"/>
        </w:rPr>
        <w:t xml:space="preserve">“[l]os Gobernadores, </w:t>
      </w:r>
      <w:proofErr w:type="gramStart"/>
      <w:r w:rsidRPr="00E2397D">
        <w:rPr>
          <w:rFonts w:ascii="Verdana" w:eastAsia="Calibri" w:hAnsi="Verdana" w:cs="Arial"/>
        </w:rPr>
        <w:t>Alcaldes</w:t>
      </w:r>
      <w:proofErr w:type="gramEnd"/>
      <w:r w:rsidRPr="00E2397D">
        <w:rPr>
          <w:rFonts w:ascii="Verdana" w:eastAsia="Calibri" w:hAnsi="Verdana" w:cs="Arial"/>
        </w:rPr>
        <w:t xml:space="preserve"> Municipales y/o Distritales, </w:t>
      </w:r>
      <w:proofErr w:type="gramStart"/>
      <w:r w:rsidRPr="00E2397D">
        <w:rPr>
          <w:rFonts w:ascii="Verdana" w:eastAsia="Calibri" w:hAnsi="Verdana" w:cs="Arial"/>
        </w:rPr>
        <w:t>Secretarios</w:t>
      </w:r>
      <w:proofErr w:type="gramEnd"/>
      <w:r w:rsidRPr="00E2397D">
        <w:rPr>
          <w:rFonts w:ascii="Verdana" w:eastAsia="Calibri" w:hAnsi="Verdana" w:cs="Arial"/>
        </w:rPr>
        <w:t xml:space="preserve">, Gerentes y directores de Entidades Descentralizadas del orden Municipal, Departamental o Distrital, dentro de los cuatro (4) meses anteriores a las elecciones, no podrán celebrar </w:t>
      </w:r>
      <w:r w:rsidRPr="00E2397D">
        <w:rPr>
          <w:rFonts w:ascii="Verdana" w:eastAsia="Calibri" w:hAnsi="Verdana" w:cs="Arial"/>
          <w:i/>
          <w:iCs/>
        </w:rPr>
        <w:t>convenios interadministrativos</w:t>
      </w:r>
      <w:r w:rsidRPr="00E2397D">
        <w:rPr>
          <w:rFonts w:ascii="Verdana" w:eastAsia="Calibri" w:hAnsi="Verdana" w:cs="Arial"/>
        </w:rPr>
        <w:t xml:space="preserve"> para la ejecución de recursos públicos”.</w:t>
      </w:r>
      <w:r w:rsidRPr="00E2397D">
        <w:rPr>
          <w:rFonts w:ascii="Verdana" w:eastAsia="Times New Roman" w:hAnsi="Verdana" w:cs="Arial"/>
          <w:lang w:val="es-MX" w:eastAsia="x-none"/>
        </w:rPr>
        <w:t xml:space="preserve"> [Énfasis fuera del texto original]</w:t>
      </w:r>
    </w:p>
    <w:p w14:paraId="14198AAD" w14:textId="77777777" w:rsidR="00225C61" w:rsidRPr="00DC6BB5" w:rsidRDefault="00225C61" w:rsidP="00225C61">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Con el fin de comprender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proofErr w:type="spellStart"/>
      <w:r w:rsidRPr="00447D82">
        <w:rPr>
          <w:rFonts w:ascii="Verdana" w:eastAsia="Times New Roman" w:hAnsi="Verdana" w:cs="Arial"/>
          <w:bCs/>
          <w:i/>
          <w:lang w:val="es-ES" w:eastAsia="es-CO"/>
        </w:rPr>
        <w:t>ibídem</w:t>
      </w:r>
      <w:proofErr w:type="spellEnd"/>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xml:space="preserve">.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w:t>
      </w:r>
      <w:r w:rsidRPr="00447D82">
        <w:rPr>
          <w:rFonts w:ascii="Verdana" w:eastAsia="Times New Roman" w:hAnsi="Verdana" w:cs="Arial"/>
          <w:bCs/>
          <w:lang w:val="es-ES" w:eastAsia="es-CO"/>
        </w:rPr>
        <w:lastRenderedPageBreak/>
        <w:t>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32E9D79B" w14:textId="77777777" w:rsidR="00225C61" w:rsidRDefault="00225C61" w:rsidP="00225C61">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En esta línea, es procedente que se celebren contratos y/ o convenios interadministrativos previos al límite temporal fijado por la Ley de Garantías Electorales y ejecutarse en meses posteriores, como es el caso de la transferencia de subsidios de servicios públicos. En todo caso, debe tenerse en cuenta las reglas, normas, directrices y lineamientos en la planeación y ejecución del presupuesto. </w:t>
      </w:r>
    </w:p>
    <w:p w14:paraId="50011718" w14:textId="77777777" w:rsidR="00225C61" w:rsidRPr="004E651A" w:rsidRDefault="00225C61" w:rsidP="00225C61">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Así 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2"/>
      </w:r>
      <w:r w:rsidRPr="00894384">
        <w:rPr>
          <w:rFonts w:ascii="Verdana" w:eastAsia="Times New Roman" w:hAnsi="Verdana" w:cs="Arial"/>
          <w:bCs/>
          <w:lang w:val="es-MX" w:eastAsia="es-CO"/>
        </w:rPr>
        <w:t xml:space="preserve">. </w:t>
      </w:r>
    </w:p>
    <w:p w14:paraId="54DFDFFD" w14:textId="77777777" w:rsidR="00225C61" w:rsidRPr="00E2397D" w:rsidRDefault="00225C61" w:rsidP="00225C61">
      <w:pPr>
        <w:spacing w:after="120" w:line="276" w:lineRule="auto"/>
        <w:ind w:firstLine="709"/>
        <w:jc w:val="both"/>
        <w:rPr>
          <w:rFonts w:ascii="Verdana" w:eastAsia="Calibri" w:hAnsi="Verdana" w:cs="Arial"/>
          <w:lang w:bidi="es-ES"/>
        </w:rPr>
      </w:pPr>
      <w:r>
        <w:rPr>
          <w:rFonts w:ascii="Verdana" w:eastAsia="Times New Roman" w:hAnsi="Verdana" w:cs="Arial"/>
          <w:lang w:val="es-MX" w:eastAsia="x-none"/>
        </w:rPr>
        <w:t>Ahora bien</w:t>
      </w:r>
      <w:r w:rsidRPr="00E2397D">
        <w:rPr>
          <w:rFonts w:ascii="Verdana" w:eastAsia="Times New Roman" w:hAnsi="Verdana" w:cs="Arial"/>
          <w:lang w:val="es-MX" w:eastAsia="x-none"/>
        </w:rPr>
        <w:t xml:space="preserve">, es importante señalar que esta Subdirección, en los conceptos emitidos sobre la aplicación de la Ley de Garantías Electorales, ha defendido y mantenido la postura acerca de que la prohibición señalada en </w:t>
      </w:r>
      <w:r w:rsidRPr="00E2397D">
        <w:rPr>
          <w:rFonts w:ascii="Verdana" w:eastAsia="Arial" w:hAnsi="Verdana" w:cs="Arial"/>
          <w:lang w:val="es-ES" w:eastAsia="es-ES" w:bidi="es-ES"/>
        </w:rPr>
        <w:t>e</w:t>
      </w:r>
      <w:r w:rsidRPr="00E2397D">
        <w:rPr>
          <w:rFonts w:ascii="Verdana" w:eastAsia="Calibri" w:hAnsi="Verdana" w:cs="Arial"/>
        </w:rPr>
        <w:t xml:space="preserve">l parágrafo del artículo 38 cobija tanto a los convenios como a los contratos interadministrativos. Esta tesis se fundamenta en que </w:t>
      </w:r>
      <w:r w:rsidRPr="00E2397D">
        <w:rPr>
          <w:rFonts w:ascii="Verdana" w:eastAsia="Calibri" w:hAnsi="Verdana" w:cs="Arial"/>
          <w:lang w:bidi="es-ES"/>
        </w:rPr>
        <w:t>si bien actualmente el Estatuto General de Contratación de la Administración Públ</w:t>
      </w:r>
      <w:r>
        <w:rPr>
          <w:rFonts w:ascii="Verdana" w:eastAsia="Calibri" w:hAnsi="Verdana" w:cs="Arial"/>
          <w:lang w:bidi="es-ES"/>
        </w:rPr>
        <w:t>ica – en adelante EGCAP – se refiere</w:t>
      </w:r>
      <w:r w:rsidRPr="00E2397D">
        <w:rPr>
          <w:rFonts w:ascii="Verdana" w:eastAsia="Calibri" w:hAnsi="Verdana" w:cs="Arial"/>
          <w:lang w:bidi="es-ES"/>
        </w:rPr>
        <w:t xml:space="preserv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2BA0D8CF" w14:textId="77777777" w:rsidR="00225C61" w:rsidRPr="00E2397D" w:rsidRDefault="00225C61" w:rsidP="00225C61">
      <w:pPr>
        <w:spacing w:after="120" w:line="276" w:lineRule="auto"/>
        <w:ind w:firstLine="709"/>
        <w:jc w:val="both"/>
        <w:rPr>
          <w:rFonts w:ascii="Verdana" w:eastAsia="Calibri" w:hAnsi="Verdana" w:cs="Arial"/>
          <w:lang w:bidi="es-ES"/>
        </w:rPr>
      </w:pPr>
      <w:r w:rsidRPr="00E2397D">
        <w:rPr>
          <w:rFonts w:ascii="Verdana" w:eastAsia="Calibri" w:hAnsi="Verdana" w:cs="Arial"/>
          <w:lang w:bidi="es-ES"/>
        </w:rPr>
        <w:t xml:space="preserve">Por este motivo, se argumenta en dichos conceptos que cuando la Ley 80 de 1993 se refiere a contratos interadministrativos de la misma forma lo hace </w:t>
      </w:r>
      <w:r w:rsidRPr="00E2397D">
        <w:rPr>
          <w:rFonts w:ascii="Verdana" w:eastAsia="Calibri" w:hAnsi="Verdana" w:cs="Arial"/>
          <w:lang w:bidi="es-ES"/>
        </w:rPr>
        <w:lastRenderedPageBreak/>
        <w:t xml:space="preserve">frente a los convenios, entre otras razones, porque este cuerpo normativo faculta a las Entidades Públicas a celebrar los demás acuerdos que permitan la autonomía de la voluntad y requieran el cumplimiento de los fines estatales. Además, se señala que </w:t>
      </w:r>
      <w:r w:rsidRPr="00E2397D">
        <w:rPr>
          <w:rFonts w:ascii="Verdana" w:eastAsia="Arial" w:hAnsi="Verdana" w:cs="Arial"/>
          <w:lang w:val="es-ES" w:eastAsia="es-ES" w:bidi="es-ES"/>
        </w:rPr>
        <w:t>el legislador y el ordenamiento jurídico, en general, en distintas ocasiones utiliza de forma indistinta los conceptos de contrato o convenio para referirse a la misma institución jurídica</w:t>
      </w:r>
      <w:r w:rsidRPr="00E2397D">
        <w:rPr>
          <w:rFonts w:ascii="Verdana" w:eastAsia="Arial" w:hAnsi="Verdana" w:cs="Arial"/>
          <w:vertAlign w:val="superscript"/>
          <w:lang w:val="es-ES" w:eastAsia="es-ES" w:bidi="es-ES"/>
        </w:rPr>
        <w:footnoteReference w:id="13"/>
      </w:r>
      <w:r w:rsidRPr="00E2397D">
        <w:rPr>
          <w:rFonts w:ascii="Verdana" w:eastAsia="Arial" w:hAnsi="Verdana"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E2397D">
        <w:rPr>
          <w:rFonts w:ascii="Verdana" w:eastAsia="Arial" w:hAnsi="Verdana" w:cs="Arial"/>
          <w:vertAlign w:val="superscript"/>
          <w:lang w:val="es-ES" w:eastAsia="es-ES" w:bidi="es-ES"/>
        </w:rPr>
        <w:footnoteReference w:id="14"/>
      </w:r>
      <w:r w:rsidRPr="00E2397D">
        <w:rPr>
          <w:rFonts w:ascii="Verdana" w:eastAsia="Arial" w:hAnsi="Verdana" w:cs="Arial"/>
          <w:lang w:val="es-ES" w:eastAsia="es-ES" w:bidi="es-ES"/>
        </w:rPr>
        <w:t>.</w:t>
      </w:r>
    </w:p>
    <w:p w14:paraId="54AA4641" w14:textId="77777777" w:rsidR="00225C61" w:rsidRPr="00E2397D" w:rsidRDefault="00225C61" w:rsidP="00225C61">
      <w:pPr>
        <w:widowControl w:val="0"/>
        <w:autoSpaceDE w:val="0"/>
        <w:autoSpaceDN w:val="0"/>
        <w:spacing w:after="0" w:line="276" w:lineRule="auto"/>
        <w:ind w:firstLine="709"/>
        <w:contextualSpacing/>
        <w:jc w:val="both"/>
        <w:rPr>
          <w:rFonts w:ascii="Verdana" w:eastAsia="Arial" w:hAnsi="Verdana" w:cs="Arial"/>
          <w:lang w:val="es-ES" w:eastAsia="es-ES" w:bidi="es-ES"/>
        </w:rPr>
      </w:pPr>
      <w:r w:rsidRPr="00E2397D">
        <w:rPr>
          <w:rFonts w:ascii="Verdana" w:eastAsia="Calibri" w:hAnsi="Verdana" w:cs="Arial"/>
          <w:lang w:val="es-ES" w:bidi="es-ES"/>
        </w:rPr>
        <w:t>De este modo, en la Circular Externa</w:t>
      </w:r>
      <w:r w:rsidRPr="00E2397D">
        <w:rPr>
          <w:rFonts w:ascii="Verdana" w:eastAsia="Arial" w:hAnsi="Verdana" w:cs="Arial"/>
          <w:lang w:val="es-ES" w:eastAsia="es-ES" w:bidi="es-ES"/>
        </w:rPr>
        <w:t xml:space="preserve"> Única de Colombia Compra Eficiente, pese a reconocer que se han realizado algunas distinciones jurisprudenciales en torno a los contratos y convenios interadministrativos, relacionados con el alcance de las obligaciones que los caracterizan, se señaló que no existe una definición legal que diferencie los conceptos de convenio o de contrato. En este sentido, la Circular, refiriéndose al parágrafo del artículo 38 de la Ley 996 de 2005, expresa lo siguiente en el numeral 16.2:</w:t>
      </w:r>
    </w:p>
    <w:p w14:paraId="23560947" w14:textId="77777777" w:rsidR="00225C61" w:rsidRPr="00E2397D" w:rsidRDefault="00225C61" w:rsidP="00225C61">
      <w:pPr>
        <w:widowControl w:val="0"/>
        <w:autoSpaceDE w:val="0"/>
        <w:autoSpaceDN w:val="0"/>
        <w:spacing w:after="0" w:line="276" w:lineRule="auto"/>
        <w:contextualSpacing/>
        <w:jc w:val="both"/>
        <w:rPr>
          <w:rFonts w:ascii="Verdana" w:eastAsia="Arial" w:hAnsi="Verdana" w:cs="Arial"/>
          <w:lang w:val="es-ES" w:eastAsia="es-ES" w:bidi="es-ES"/>
        </w:rPr>
      </w:pPr>
    </w:p>
    <w:p w14:paraId="36AE9E38" w14:textId="77777777" w:rsidR="00225C61" w:rsidRPr="00834E33" w:rsidRDefault="00225C61" w:rsidP="00225C61">
      <w:pPr>
        <w:spacing w:after="0" w:line="240" w:lineRule="auto"/>
        <w:ind w:left="709" w:right="709"/>
        <w:jc w:val="both"/>
        <w:rPr>
          <w:rFonts w:ascii="Verdana" w:eastAsia="Calibri" w:hAnsi="Verdana" w:cs="Arial"/>
          <w:sz w:val="21"/>
          <w:szCs w:val="21"/>
          <w:lang w:val="es-MX"/>
        </w:rPr>
      </w:pPr>
      <w:r w:rsidRPr="00834E33">
        <w:rPr>
          <w:rFonts w:ascii="Verdana" w:eastAsia="Calibri" w:hAnsi="Verdana"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834E33">
        <w:rPr>
          <w:rFonts w:ascii="Verdana" w:eastAsia="Calibri" w:hAnsi="Verdana" w:cs="Arial"/>
          <w:sz w:val="21"/>
          <w:szCs w:val="21"/>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14:paraId="63F89160" w14:textId="77777777" w:rsidR="00225C61" w:rsidRPr="00834E33" w:rsidRDefault="00225C61" w:rsidP="00225C61">
      <w:pPr>
        <w:spacing w:after="0" w:line="240" w:lineRule="auto"/>
        <w:ind w:left="709" w:right="709"/>
        <w:jc w:val="both"/>
        <w:rPr>
          <w:rFonts w:ascii="Verdana" w:eastAsia="Calibri" w:hAnsi="Verdana" w:cs="Arial"/>
          <w:sz w:val="21"/>
          <w:szCs w:val="21"/>
          <w:lang w:val="es-MX"/>
        </w:rPr>
      </w:pPr>
    </w:p>
    <w:p w14:paraId="51EDF135" w14:textId="77777777" w:rsidR="00225C61" w:rsidRPr="00834E33" w:rsidRDefault="00225C61" w:rsidP="00225C61">
      <w:pPr>
        <w:spacing w:after="0" w:line="240" w:lineRule="auto"/>
        <w:ind w:left="709" w:right="709"/>
        <w:jc w:val="both"/>
        <w:rPr>
          <w:rFonts w:ascii="Verdana" w:eastAsia="Calibri" w:hAnsi="Verdana" w:cs="Arial"/>
          <w:sz w:val="21"/>
          <w:szCs w:val="21"/>
          <w:lang w:val="es-MX"/>
        </w:rPr>
      </w:pPr>
      <w:r w:rsidRPr="00834E33">
        <w:rPr>
          <w:rFonts w:ascii="Verdana" w:eastAsia="Calibri" w:hAnsi="Verdana" w:cs="Arial"/>
          <w:sz w:val="21"/>
          <w:szCs w:val="21"/>
          <w:lang w:val="es-MX"/>
        </w:rPr>
        <w:t xml:space="preserve">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w:t>
      </w:r>
      <w:r w:rsidRPr="00834E33">
        <w:rPr>
          <w:rFonts w:ascii="Verdana" w:eastAsia="Calibri" w:hAnsi="Verdana" w:cs="Arial"/>
          <w:sz w:val="21"/>
          <w:szCs w:val="21"/>
          <w:lang w:val="es-MX"/>
        </w:rPr>
        <w:lastRenderedPageBreak/>
        <w:t>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304B5639" w14:textId="77777777" w:rsidR="00225C61" w:rsidRPr="00834E33" w:rsidRDefault="00225C61" w:rsidP="00225C61">
      <w:pPr>
        <w:spacing w:after="0" w:line="240" w:lineRule="auto"/>
        <w:ind w:left="709" w:right="709"/>
        <w:jc w:val="both"/>
        <w:rPr>
          <w:rFonts w:ascii="Verdana" w:eastAsia="Calibri" w:hAnsi="Verdana" w:cs="Arial"/>
          <w:sz w:val="21"/>
          <w:szCs w:val="21"/>
          <w:lang w:val="es-MX"/>
        </w:rPr>
      </w:pPr>
    </w:p>
    <w:p w14:paraId="5537859F" w14:textId="77777777" w:rsidR="00225C61" w:rsidRPr="00834E33" w:rsidRDefault="00225C61" w:rsidP="00225C61">
      <w:pPr>
        <w:spacing w:after="0" w:line="240" w:lineRule="auto"/>
        <w:ind w:left="709" w:right="709"/>
        <w:jc w:val="both"/>
        <w:rPr>
          <w:rFonts w:ascii="Verdana" w:eastAsia="Calibri" w:hAnsi="Verdana" w:cs="Arial"/>
          <w:sz w:val="21"/>
          <w:szCs w:val="21"/>
          <w:lang w:val="es-MX"/>
        </w:rPr>
      </w:pPr>
      <w:r w:rsidRPr="00834E33">
        <w:rPr>
          <w:rFonts w:ascii="Verdana" w:eastAsia="Calibri" w:hAnsi="Verdana" w:cs="Arial"/>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4E0E1873" w14:textId="77777777" w:rsidR="00225C61" w:rsidRPr="00834E33" w:rsidRDefault="00225C61" w:rsidP="00225C61">
      <w:pPr>
        <w:widowControl w:val="0"/>
        <w:autoSpaceDE w:val="0"/>
        <w:autoSpaceDN w:val="0"/>
        <w:spacing w:after="0" w:line="276" w:lineRule="auto"/>
        <w:contextualSpacing/>
        <w:jc w:val="both"/>
        <w:rPr>
          <w:rFonts w:ascii="Verdana" w:eastAsia="Arial" w:hAnsi="Verdana" w:cs="Arial"/>
          <w:sz w:val="21"/>
          <w:szCs w:val="21"/>
          <w:lang w:val="es-ES" w:eastAsia="es-ES" w:bidi="es-ES"/>
        </w:rPr>
      </w:pPr>
    </w:p>
    <w:p w14:paraId="0DCCDF01" w14:textId="77777777" w:rsidR="00225C61" w:rsidRPr="00834E33" w:rsidRDefault="00225C61" w:rsidP="00225C61">
      <w:pPr>
        <w:spacing w:after="120" w:line="276" w:lineRule="auto"/>
        <w:ind w:firstLine="709"/>
        <w:jc w:val="both"/>
        <w:rPr>
          <w:rFonts w:ascii="Verdana" w:eastAsia="Arial" w:hAnsi="Verdana" w:cs="Arial"/>
          <w:lang w:val="es-MX" w:eastAsia="es-ES" w:bidi="es-ES"/>
        </w:rPr>
      </w:pPr>
      <w:r w:rsidRPr="00834E33">
        <w:rPr>
          <w:rFonts w:ascii="Verdana" w:eastAsia="Arial" w:hAnsi="Verdana" w:cs="Arial"/>
          <w:lang w:val="es-ES" w:eastAsia="es-ES" w:bidi="es-ES"/>
        </w:rPr>
        <w:t>Con base en lo expuesto, debido a que no existe una definición legal que diferencie los conceptos de contrato y convenio, esta Agencia ha partido de su asimilación para la aplicación de la Ley de Garantías Electorales, por lo que la interpretación que se ha efectuado d</w:t>
      </w:r>
      <w:r w:rsidRPr="00834E33">
        <w:rPr>
          <w:rFonts w:ascii="Verdana" w:eastAsia="Arial" w:hAnsi="Verdana" w:cs="Arial"/>
          <w:lang w:val="es-MX" w:eastAsia="es-ES" w:bidi="es-ES"/>
        </w:rPr>
        <w:t>el parágrafo del artículo 38 de la Ley 996 de 2005 es que prohíbe a los alcaldes, gobernadores, secretarios, gerentes y directores de las entidades del orden municipal, departamental o distrital celebrar convenios y contratos interadministrativos para la ejecución de recursos públicos.</w:t>
      </w:r>
    </w:p>
    <w:p w14:paraId="0793DA12" w14:textId="77777777" w:rsidR="00225C61" w:rsidRPr="00834E33" w:rsidRDefault="00225C61" w:rsidP="00225C61">
      <w:pPr>
        <w:spacing w:after="0" w:line="276" w:lineRule="auto"/>
        <w:ind w:firstLine="709"/>
        <w:jc w:val="both"/>
      </w:pPr>
      <w:r w:rsidRPr="00834E33">
        <w:rPr>
          <w:rFonts w:ascii="Verdana" w:eastAsia="Arial" w:hAnsi="Verdana" w:cs="Arial"/>
          <w:lang w:val="es-MX" w:eastAsia="es-ES" w:bidi="es-ES"/>
        </w:rPr>
        <w:t xml:space="preserve">No obstante, conviene señalar que, mediante auto de 4 de octubre del 2024, el Consejo de Estado, Sección Tercera, decretó medida de suspensión provisional parcial del </w:t>
      </w:r>
      <w:r w:rsidRPr="00834E33">
        <w:rPr>
          <w:rFonts w:ascii="Verdana" w:hAnsi="Verdana"/>
        </w:rPr>
        <w:t>numeral 16.2 de la Circular Externa Única de 2022 expedida por la Agencia Nacional de Contratación Pública -Colombia Compra Eficiente-, concretamente, respecto de los siguientes apartes normativos</w:t>
      </w:r>
      <w:r w:rsidRPr="00834E33">
        <w:rPr>
          <w:rFonts w:ascii="Verdana" w:hAnsi="Verdana"/>
          <w:vertAlign w:val="superscript"/>
        </w:rPr>
        <w:footnoteReference w:id="15"/>
      </w:r>
      <w:r w:rsidRPr="00834E33">
        <w:rPr>
          <w:rFonts w:ascii="Verdana" w:hAnsi="Verdana"/>
        </w:rPr>
        <w:t>:</w:t>
      </w:r>
      <w:r w:rsidRPr="00834E33">
        <w:t xml:space="preserve"> </w:t>
      </w:r>
    </w:p>
    <w:p w14:paraId="4E219A90" w14:textId="77777777" w:rsidR="00225C61" w:rsidRPr="00834E33" w:rsidRDefault="00225C61" w:rsidP="00225C61">
      <w:pPr>
        <w:spacing w:after="0" w:line="276" w:lineRule="auto"/>
        <w:ind w:firstLine="709"/>
        <w:jc w:val="both"/>
        <w:rPr>
          <w:sz w:val="21"/>
          <w:szCs w:val="21"/>
        </w:rPr>
      </w:pPr>
    </w:p>
    <w:p w14:paraId="7A335EBA" w14:textId="77777777" w:rsidR="00225C61" w:rsidRPr="00834E33" w:rsidRDefault="00225C61" w:rsidP="00225C61">
      <w:pPr>
        <w:spacing w:after="0" w:line="240" w:lineRule="auto"/>
        <w:ind w:left="709" w:right="709"/>
        <w:jc w:val="both"/>
        <w:rPr>
          <w:rFonts w:ascii="Verdana" w:eastAsia="Calibri" w:hAnsi="Verdana" w:cs="Arial"/>
          <w:sz w:val="21"/>
          <w:szCs w:val="21"/>
        </w:rPr>
      </w:pPr>
      <w:r w:rsidRPr="00834E33">
        <w:rPr>
          <w:rFonts w:ascii="Verdana" w:eastAsia="Calibri" w:hAnsi="Verdana" w:cs="Arial"/>
          <w:sz w:val="21"/>
          <w:szCs w:val="21"/>
          <w:lang w:val="es-MX"/>
        </w:rPr>
        <w:t>“i)</w:t>
      </w:r>
      <w:r w:rsidRPr="00834E33">
        <w:rPr>
          <w:rFonts w:ascii="Verdana" w:eastAsia="Calibri" w:hAnsi="Verdana" w:cs="Arial"/>
          <w:sz w:val="21"/>
          <w:szCs w:val="21"/>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w:t>
      </w:r>
      <w:r w:rsidRPr="00834E33">
        <w:rPr>
          <w:rFonts w:ascii="Verdana" w:eastAsia="Calibri" w:hAnsi="Verdana" w:cs="Arial"/>
          <w:sz w:val="21"/>
          <w:szCs w:val="21"/>
        </w:rPr>
        <w:lastRenderedPageBreak/>
        <w:t xml:space="preserve">contratación entre entidades públicas a través de estas dos figuras jurídicas” y, </w:t>
      </w:r>
    </w:p>
    <w:p w14:paraId="1FC5EC4D" w14:textId="77777777" w:rsidR="00225C61" w:rsidRPr="00834E33" w:rsidRDefault="00225C61" w:rsidP="00225C61">
      <w:pPr>
        <w:spacing w:after="0" w:line="240" w:lineRule="auto"/>
        <w:ind w:left="709" w:right="709"/>
        <w:jc w:val="both"/>
        <w:rPr>
          <w:rFonts w:ascii="Verdana" w:eastAsia="Calibri" w:hAnsi="Verdana" w:cs="Arial"/>
          <w:sz w:val="21"/>
          <w:szCs w:val="21"/>
        </w:rPr>
      </w:pPr>
    </w:p>
    <w:p w14:paraId="0706FAA7" w14:textId="77777777" w:rsidR="00225C61" w:rsidRPr="00834E33" w:rsidRDefault="00225C61" w:rsidP="00225C61">
      <w:pPr>
        <w:spacing w:after="0" w:line="240" w:lineRule="auto"/>
        <w:ind w:left="709" w:right="709"/>
        <w:jc w:val="both"/>
        <w:rPr>
          <w:rFonts w:ascii="Verdana" w:hAnsi="Verdana"/>
          <w:sz w:val="21"/>
          <w:szCs w:val="21"/>
        </w:rPr>
      </w:pPr>
      <w:proofErr w:type="spellStart"/>
      <w:r w:rsidRPr="00834E33">
        <w:rPr>
          <w:rFonts w:ascii="Verdana" w:hAnsi="Verdana"/>
          <w:sz w:val="21"/>
          <w:szCs w:val="21"/>
        </w:rPr>
        <w:t>ii</w:t>
      </w:r>
      <w:proofErr w:type="spellEnd"/>
      <w:r w:rsidRPr="00834E33">
        <w:rPr>
          <w:rFonts w:ascii="Verdana" w:hAnsi="Verdana"/>
          <w:sz w:val="21"/>
          <w:szCs w:val="21"/>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31CA8062" w14:textId="77777777" w:rsidR="00225C61" w:rsidRPr="00E2397D" w:rsidRDefault="00225C61" w:rsidP="00225C61">
      <w:pPr>
        <w:spacing w:after="0" w:line="276" w:lineRule="auto"/>
        <w:ind w:left="709" w:right="709"/>
        <w:jc w:val="both"/>
        <w:rPr>
          <w:rFonts w:ascii="Verdana" w:hAnsi="Verdana"/>
        </w:rPr>
      </w:pPr>
    </w:p>
    <w:p w14:paraId="40ABED6B" w14:textId="77777777" w:rsidR="00225C61" w:rsidRPr="00E2397D" w:rsidRDefault="00225C61" w:rsidP="00225C61">
      <w:pPr>
        <w:spacing w:after="120" w:line="276" w:lineRule="auto"/>
        <w:ind w:firstLine="709"/>
        <w:jc w:val="both"/>
        <w:rPr>
          <w:rFonts w:ascii="Verdana" w:eastAsia="Arial" w:hAnsi="Verdana" w:cs="Arial"/>
          <w:i/>
          <w:iCs/>
          <w:lang w:val="es-MX" w:eastAsia="es-ES" w:bidi="es-ES"/>
        </w:rPr>
      </w:pPr>
      <w:r w:rsidRPr="00E2397D">
        <w:rPr>
          <w:rFonts w:ascii="Verdana" w:eastAsia="Arial" w:hAnsi="Verdana" w:cs="Arial"/>
          <w:lang w:val="es-MX" w:eastAsia="es-ES" w:bidi="es-ES"/>
        </w:rPr>
        <w:t xml:space="preserve">De conformidad con los argumentos de dicha providencia, se parte de la distinción entre los conceptos </w:t>
      </w:r>
      <w:r w:rsidRPr="00E2397D">
        <w:rPr>
          <w:rFonts w:ascii="Verdana" w:eastAsia="Arial" w:hAnsi="Verdana" w:cs="Arial"/>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E2397D">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E2397D">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E2397D">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1EBFF618" w14:textId="77777777" w:rsidR="00225C61" w:rsidRPr="00E2397D" w:rsidRDefault="00225C61" w:rsidP="00225C61">
      <w:pPr>
        <w:spacing w:after="120" w:line="276" w:lineRule="auto"/>
        <w:ind w:firstLine="709"/>
        <w:jc w:val="both"/>
        <w:rPr>
          <w:rFonts w:ascii="Verdana" w:eastAsia="Calibri" w:hAnsi="Verdana" w:cs="Arial"/>
          <w:lang w:val="es-MX"/>
        </w:rPr>
      </w:pPr>
      <w:r w:rsidRPr="00E2397D">
        <w:rPr>
          <w:rFonts w:ascii="Verdana" w:eastAsia="Arial" w:hAnsi="Verdana" w:cs="Arial"/>
          <w:lang w:val="es-MX" w:eastAsia="es-ES" w:bidi="es-ES"/>
        </w:rPr>
        <w:t xml:space="preserve">Bajo este contexto, esta Agencia debe manifestar que, si bien respeta y acata las decisiones proferidas por el Consejo de Estado, como es el caso del auto de suspensión provisional parcial del numeral </w:t>
      </w:r>
      <w:r w:rsidRPr="00E2397D">
        <w:rPr>
          <w:rFonts w:ascii="Verdana" w:eastAsia="Arial" w:hAnsi="Verdana" w:cs="Arial"/>
          <w:lang w:eastAsia="es-ES" w:bidi="es-ES"/>
        </w:rPr>
        <w:t>16.2 de la Circular Externa Única</w:t>
      </w:r>
      <w:r w:rsidRPr="00E2397D">
        <w:rPr>
          <w:rFonts w:ascii="Verdana" w:eastAsia="Arial" w:hAnsi="Verdana" w:cs="Arial"/>
          <w:lang w:val="es-MX" w:eastAsia="es-ES" w:bidi="es-ES"/>
        </w:rPr>
        <w:t xml:space="preserve">, no comparte los argumentos expuestos por dicha Corporación. Esto, en la medida que, a juicio de esta Entidad, señalar que la Ley de Garantías Electorales no aplica para el caso de los contratos interadministrativos deja sin efecto el propósito buscado por la norma, que no es otro que </w:t>
      </w:r>
      <w:r w:rsidRPr="00E2397D">
        <w:rPr>
          <w:rFonts w:ascii="Verdana" w:eastAsia="Times New Roman" w:hAnsi="Verdana" w:cs="Arial"/>
          <w:lang w:val="es-MX" w:eastAsia="es-CO"/>
        </w:rPr>
        <w:t xml:space="preserve">evitar cualquier tipo de arbitrariedad, de ventaja injustificada, de uso irregular de los recursos del Estado en las campañas políticas, o que </w:t>
      </w:r>
      <w:r w:rsidRPr="00E2397D">
        <w:rPr>
          <w:rFonts w:ascii="Verdana" w:eastAsia="Calibri" w:hAnsi="Verdana" w:cs="Arial"/>
          <w:lang w:val="es-MX"/>
        </w:rPr>
        <w:t xml:space="preserve">los recursos del Estado se ejecuten para lograr apoyos indebidos mediante la suscripción de contratos y/o convenios, que para efectos de la Ley de Garantías tienen la misma connotación y propósitos. </w:t>
      </w:r>
    </w:p>
    <w:p w14:paraId="4550B07D" w14:textId="77777777" w:rsidR="00225C61" w:rsidRPr="00E2397D" w:rsidRDefault="00225C61" w:rsidP="00225C61">
      <w:pPr>
        <w:spacing w:after="120" w:line="276" w:lineRule="auto"/>
        <w:ind w:firstLine="709"/>
        <w:jc w:val="both"/>
        <w:rPr>
          <w:rFonts w:ascii="Verdana" w:eastAsia="Arial" w:hAnsi="Verdana" w:cs="Arial"/>
          <w:lang w:val="es-MX" w:eastAsia="es-ES" w:bidi="es-ES"/>
        </w:rPr>
      </w:pPr>
      <w:r w:rsidRPr="00E2397D">
        <w:rPr>
          <w:rFonts w:ascii="Verdana" w:eastAsia="Calibri" w:hAnsi="Verdana" w:cs="Arial"/>
        </w:rPr>
        <w:lastRenderedPageBreak/>
        <w:t xml:space="preserve">Conforme a lo anterior, si bien la Agencia es respetuosa de las providencias proferidas por las autoridades judiciales, es necesario expresar el desacuerdo con el decreto de medida cautelar de suspensión provisional y la oposición a que se declare la nulidad del numeral </w:t>
      </w:r>
      <w:r w:rsidRPr="00E2397D">
        <w:rPr>
          <w:rFonts w:ascii="Verdana" w:eastAsia="Arial" w:hAnsi="Verdana" w:cs="Arial"/>
          <w:lang w:eastAsia="es-ES" w:bidi="es-ES"/>
        </w:rPr>
        <w:t xml:space="preserve">16.2 de la Circular Externa Única. Al señalar que los contratos interadministrativos deberían estar sujetos a las restricciones consagradas en el parágrafo del artículo 38, la Agencia busca proteger la transparencia, igualdad e integridad del proceso electoral. Así las cosas, </w:t>
      </w:r>
      <w:r w:rsidRPr="00E2397D">
        <w:rPr>
          <w:rFonts w:ascii="Verdana" w:eastAsia="Calibri" w:hAnsi="Verdana" w:cs="Arial"/>
          <w:lang w:val="es-MX"/>
        </w:rPr>
        <w:t xml:space="preserve">a la fecha, se espera la decisión final respecto a la declaratoria de nulidad del numeral 16.2 de la Circular Externa Única que adopte el Consejo de Estado. </w:t>
      </w:r>
    </w:p>
    <w:p w14:paraId="438F86F9" w14:textId="77777777" w:rsidR="00225C61" w:rsidRPr="00E2397D" w:rsidRDefault="00225C61" w:rsidP="00225C61">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 xml:space="preserve">, 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Ahora bien, como se expuso anteriormente, para esta Agencia tal restricción también cobijaría a los contratos interadministrativos.  </w:t>
      </w:r>
    </w:p>
    <w:p w14:paraId="7439D6F2" w14:textId="77777777" w:rsidR="00225C61" w:rsidRDefault="00225C61" w:rsidP="00225C61">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ES" w:eastAsia="es-CO" w:bidi="es-ES"/>
        </w:rPr>
        <w:t>En todo caso</w:t>
      </w:r>
      <w:r w:rsidRPr="00E2397D">
        <w:rPr>
          <w:rFonts w:ascii="Verdana" w:eastAsia="Arial" w:hAnsi="Verdana" w:cs="Arial"/>
          <w:lang w:val="es-ES" w:eastAsia="es-ES" w:bidi="es-ES"/>
        </w:rPr>
        <w:t>, es importante resaltar que la Sala de Consulta y Servicio Civil del Consejo de Estado se ha pronunciado en el sentido de que no se les aplica la restricción contemplada en el artículo 38 de la Ley de Garantías a los convenios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sidRPr="00E2397D">
        <w:rPr>
          <w:rFonts w:ascii="Verdana" w:eastAsia="Arial" w:hAnsi="Verdana" w:cs="Arial"/>
          <w:vertAlign w:val="superscript"/>
          <w:lang w:val="es-ES" w:eastAsia="es-ES" w:bidi="es-ES"/>
        </w:rPr>
        <w:footnoteReference w:id="16"/>
      </w:r>
      <w:r w:rsidRPr="00E2397D">
        <w:rPr>
          <w:rFonts w:ascii="Verdana" w:eastAsia="Arial" w:hAnsi="Verdana" w:cs="Arial"/>
          <w:lang w:val="es-ES" w:eastAsia="es-ES" w:bidi="es-ES"/>
        </w:rPr>
        <w:t>.</w:t>
      </w:r>
    </w:p>
    <w:p w14:paraId="69F7EF9B" w14:textId="77777777" w:rsidR="00225C61" w:rsidRPr="000974AC" w:rsidRDefault="00225C61" w:rsidP="00225C61">
      <w:pPr>
        <w:spacing w:after="0" w:line="276" w:lineRule="auto"/>
        <w:jc w:val="both"/>
        <w:rPr>
          <w:rFonts w:ascii="Verdana" w:eastAsia="Calibri" w:hAnsi="Verdana" w:cs="Arial"/>
          <w:lang w:val="es-ES" w:eastAsia="es-MX"/>
        </w:rPr>
      </w:pPr>
    </w:p>
    <w:p w14:paraId="67B00A83" w14:textId="77777777" w:rsidR="00225C61" w:rsidRPr="008853C1" w:rsidRDefault="00225C61" w:rsidP="00225C61">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sidRPr="008853C1">
        <w:rPr>
          <w:rFonts w:ascii="Verdana" w:eastAsia="Century Gothic" w:hAnsi="Verdana" w:cs="Century Gothic"/>
          <w:b/>
          <w:bCs/>
        </w:rPr>
        <w:t>Referencias normativas</w:t>
      </w:r>
      <w:r>
        <w:rPr>
          <w:rFonts w:ascii="Verdana" w:eastAsia="Century Gothic" w:hAnsi="Verdana" w:cs="Century Gothic"/>
          <w:b/>
          <w:bCs/>
        </w:rPr>
        <w:t>, jurisprudenciales y doctrinales</w:t>
      </w:r>
      <w:r w:rsidRPr="008853C1">
        <w:rPr>
          <w:rFonts w:ascii="Verdana" w:eastAsia="Century Gothic" w:hAnsi="Verdana" w:cs="Century Gothic"/>
          <w:b/>
          <w:bCs/>
        </w:rPr>
        <w:t xml:space="preserve"> </w:t>
      </w:r>
    </w:p>
    <w:p w14:paraId="6790316F" w14:textId="77777777" w:rsidR="00225C61" w:rsidRPr="00E2397D" w:rsidRDefault="00225C61" w:rsidP="00225C6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25C61" w:rsidRPr="008561C4" w14:paraId="49036526" w14:textId="77777777" w:rsidTr="006270D8">
        <w:trPr>
          <w:trHeight w:val="856"/>
          <w:jc w:val="center"/>
        </w:trPr>
        <w:tc>
          <w:tcPr>
            <w:tcW w:w="8647" w:type="dxa"/>
          </w:tcPr>
          <w:p w14:paraId="21C5541B" w14:textId="77777777" w:rsidR="00225C61" w:rsidRPr="00E2397D" w:rsidRDefault="00225C61" w:rsidP="00225C61">
            <w:pPr>
              <w:widowControl w:val="0"/>
              <w:numPr>
                <w:ilvl w:val="0"/>
                <w:numId w:val="20"/>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eastAsia="es-ES" w:bidi="es-ES"/>
              </w:rPr>
              <w:t xml:space="preserve">Constitución </w:t>
            </w:r>
            <w:r w:rsidRPr="00E2397D">
              <w:rPr>
                <w:rFonts w:ascii="Verdana" w:eastAsia="Arial MT" w:hAnsi="Verdana" w:cs="Arial"/>
                <w:lang w:eastAsia="es-ES" w:bidi="es-ES"/>
              </w:rPr>
              <w:t>Política: Artículo 127.</w:t>
            </w:r>
          </w:p>
          <w:p w14:paraId="2A384F0D" w14:textId="77777777" w:rsidR="00225C61" w:rsidRPr="006B4CA3" w:rsidRDefault="00225C61" w:rsidP="00225C61">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sidRPr="006B4CA3">
              <w:rPr>
                <w:rFonts w:ascii="Verdana" w:eastAsia="Arial MT" w:hAnsi="Verdana" w:cs="Arial"/>
                <w:lang w:val="es-ES" w:eastAsia="es-ES" w:bidi="es-ES"/>
              </w:rPr>
              <w:t>Le</w:t>
            </w:r>
            <w:r>
              <w:rPr>
                <w:rFonts w:ascii="Verdana" w:eastAsia="Arial MT" w:hAnsi="Verdana" w:cs="Arial"/>
                <w:lang w:val="es-ES" w:eastAsia="es-ES" w:bidi="es-ES"/>
              </w:rPr>
              <w:t xml:space="preserve">y 80 de 1993, artículos 39, 41. </w:t>
            </w:r>
          </w:p>
          <w:p w14:paraId="4D3D64E3" w14:textId="77777777" w:rsidR="00225C61" w:rsidRPr="006B4CA3" w:rsidRDefault="00225C61" w:rsidP="00225C61">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lastRenderedPageBreak/>
              <w:t>Código Civil, a</w:t>
            </w:r>
            <w:r w:rsidRPr="006B4CA3">
              <w:rPr>
                <w:rFonts w:ascii="Verdana" w:eastAsia="Arial MT" w:hAnsi="Verdana" w:cs="Arial"/>
                <w:lang w:val="es-ES" w:eastAsia="es-ES" w:bidi="es-ES"/>
              </w:rPr>
              <w:t xml:space="preserve">rtículo </w:t>
            </w:r>
            <w:r>
              <w:rPr>
                <w:rFonts w:ascii="Verdana" w:eastAsia="Arial MT" w:hAnsi="Verdana" w:cs="Arial"/>
                <w:lang w:val="es-ES" w:eastAsia="es-ES" w:bidi="es-ES"/>
              </w:rPr>
              <w:t xml:space="preserve">1501. </w:t>
            </w:r>
          </w:p>
          <w:p w14:paraId="47543706" w14:textId="77777777" w:rsidR="00225C61" w:rsidRPr="00E2397D" w:rsidRDefault="00225C61" w:rsidP="00225C61">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sidRPr="00E2397D">
              <w:rPr>
                <w:rFonts w:ascii="Verdana" w:eastAsia="Arial MT" w:hAnsi="Verdana" w:cs="Arial"/>
                <w:bCs/>
                <w:lang w:val="es-ES" w:eastAsia="es-ES" w:bidi="es-ES"/>
              </w:rPr>
              <w:t>Ley 996 de 2005: artículos 33 y 38 parágrafo.</w:t>
            </w:r>
          </w:p>
          <w:p w14:paraId="04CFC3DD" w14:textId="77777777" w:rsidR="00225C61" w:rsidRPr="00CC0106" w:rsidRDefault="00225C61" w:rsidP="00225C61">
            <w:pPr>
              <w:widowControl w:val="0"/>
              <w:numPr>
                <w:ilvl w:val="0"/>
                <w:numId w:val="20"/>
              </w:numPr>
              <w:autoSpaceDE w:val="0"/>
              <w:autoSpaceDN w:val="0"/>
              <w:spacing w:after="120" w:line="276" w:lineRule="auto"/>
              <w:jc w:val="both"/>
              <w:rPr>
                <w:rFonts w:ascii="Verdana" w:eastAsia="Calibri" w:hAnsi="Verdana" w:cs="Arial"/>
                <w:lang w:val="es-ES"/>
              </w:rPr>
            </w:pPr>
            <w:r w:rsidRPr="00CC0106">
              <w:rPr>
                <w:rFonts w:ascii="Verdana" w:eastAsia="Calibri" w:hAnsi="Verdana" w:cs="Arial"/>
                <w:lang w:val="es-ES"/>
              </w:rPr>
              <w:t>Colombia Compra Eficiente. Circ</w:t>
            </w:r>
            <w:r>
              <w:rPr>
                <w:rFonts w:ascii="Verdana" w:eastAsia="Calibri" w:hAnsi="Verdana" w:cs="Arial"/>
                <w:lang w:val="es-ES"/>
              </w:rPr>
              <w:t>ular Externa Única. Numerales 16.2 y 16.5</w:t>
            </w:r>
            <w:r w:rsidRPr="00CC0106">
              <w:rPr>
                <w:rFonts w:ascii="Verdana" w:eastAsia="Calibri" w:hAnsi="Verdana" w:cs="Arial"/>
                <w:lang w:val="es-ES"/>
              </w:rPr>
              <w:t xml:space="preserve">. </w:t>
            </w:r>
          </w:p>
          <w:p w14:paraId="3199B13B" w14:textId="77777777" w:rsidR="00225C61" w:rsidRPr="0058131F" w:rsidRDefault="00225C61" w:rsidP="00225C61">
            <w:pPr>
              <w:widowControl w:val="0"/>
              <w:numPr>
                <w:ilvl w:val="0"/>
                <w:numId w:val="20"/>
              </w:numPr>
              <w:autoSpaceDE w:val="0"/>
              <w:autoSpaceDN w:val="0"/>
              <w:spacing w:after="120" w:line="276" w:lineRule="auto"/>
              <w:jc w:val="both"/>
              <w:rPr>
                <w:rFonts w:ascii="Verdana" w:eastAsia="Calibri" w:hAnsi="Verdana" w:cs="Arial"/>
                <w:lang w:val="es-ES"/>
              </w:rPr>
            </w:pPr>
            <w:r w:rsidRPr="0058131F">
              <w:rPr>
                <w:rFonts w:ascii="Verdana" w:eastAsia="Calibri" w:hAnsi="Verdana" w:cs="Arial"/>
                <w:lang w:val="es-ES"/>
              </w:rPr>
              <w:t xml:space="preserve">Consejo de Estado, Sección Primera. Sentencia de 3 de marzo de 2005, </w:t>
            </w:r>
            <w:proofErr w:type="spellStart"/>
            <w:r w:rsidRPr="0058131F">
              <w:rPr>
                <w:rFonts w:ascii="Verdana" w:eastAsia="Calibri" w:hAnsi="Verdana" w:cs="Arial"/>
                <w:lang w:val="es-ES"/>
              </w:rPr>
              <w:t>Exp</w:t>
            </w:r>
            <w:proofErr w:type="spellEnd"/>
            <w:r w:rsidRPr="0058131F">
              <w:rPr>
                <w:rFonts w:ascii="Verdana" w:eastAsia="Calibri" w:hAnsi="Verdana" w:cs="Arial"/>
                <w:lang w:val="es-ES"/>
              </w:rPr>
              <w:t xml:space="preserve">. 2004-00823-01(PI). </w:t>
            </w:r>
          </w:p>
          <w:p w14:paraId="7030E3E5" w14:textId="77777777" w:rsidR="00225C61" w:rsidRPr="005F71CE" w:rsidRDefault="00225C61" w:rsidP="00225C61">
            <w:pPr>
              <w:widowControl w:val="0"/>
              <w:numPr>
                <w:ilvl w:val="0"/>
                <w:numId w:val="20"/>
              </w:numPr>
              <w:autoSpaceDE w:val="0"/>
              <w:autoSpaceDN w:val="0"/>
              <w:spacing w:after="120" w:line="276" w:lineRule="auto"/>
              <w:jc w:val="both"/>
              <w:rPr>
                <w:rFonts w:ascii="Verdana" w:eastAsia="Calibri" w:hAnsi="Verdana" w:cs="Arial"/>
                <w:lang w:val="es-ES"/>
              </w:rPr>
            </w:pPr>
            <w:r w:rsidRPr="0058131F">
              <w:rPr>
                <w:rFonts w:ascii="Verdana" w:eastAsia="Calibri" w:hAnsi="Verdana" w:cs="Arial"/>
                <w:lang w:val="es-ES"/>
              </w:rPr>
              <w:t>Consejo de Estado, Sala de Consulta y Servicio Civil de fecha 24 de julio de 2013, Rad. 21</w:t>
            </w:r>
            <w:r>
              <w:rPr>
                <w:rFonts w:ascii="Verdana" w:eastAsia="Calibri" w:hAnsi="Verdana" w:cs="Arial"/>
                <w:lang w:val="es-ES"/>
              </w:rPr>
              <w:t xml:space="preserve">66, C. P. Álvaro </w:t>
            </w:r>
            <w:proofErr w:type="spellStart"/>
            <w:r>
              <w:rPr>
                <w:rFonts w:ascii="Verdana" w:eastAsia="Calibri" w:hAnsi="Verdana" w:cs="Arial"/>
                <w:lang w:val="es-ES"/>
              </w:rPr>
              <w:t>Namén</w:t>
            </w:r>
            <w:proofErr w:type="spellEnd"/>
            <w:r>
              <w:rPr>
                <w:rFonts w:ascii="Verdana" w:eastAsia="Calibri" w:hAnsi="Verdana" w:cs="Arial"/>
                <w:lang w:val="es-ES"/>
              </w:rPr>
              <w:t xml:space="preserve"> Vargas. </w:t>
            </w:r>
          </w:p>
          <w:p w14:paraId="1EA3C2A0" w14:textId="77777777" w:rsidR="00225C61" w:rsidRPr="005C14F1" w:rsidRDefault="00225C61" w:rsidP="00225C61">
            <w:pPr>
              <w:widowControl w:val="0"/>
              <w:numPr>
                <w:ilvl w:val="0"/>
                <w:numId w:val="20"/>
              </w:numPr>
              <w:autoSpaceDE w:val="0"/>
              <w:autoSpaceDN w:val="0"/>
              <w:spacing w:after="120" w:line="276" w:lineRule="auto"/>
              <w:jc w:val="both"/>
              <w:rPr>
                <w:rFonts w:ascii="Verdana" w:eastAsia="Calibri" w:hAnsi="Verdana" w:cs="Arial"/>
                <w:lang w:val="es-ES"/>
              </w:rPr>
            </w:pPr>
            <w:r w:rsidRPr="000F46C6">
              <w:rPr>
                <w:rFonts w:ascii="Verdana" w:eastAsia="Calibri" w:hAnsi="Verdana" w:cs="Arial"/>
                <w:lang w:val="es-ES"/>
              </w:rPr>
              <w:t xml:space="preserve"> </w:t>
            </w:r>
            <w:r w:rsidRPr="005C14F1">
              <w:rPr>
                <w:rFonts w:ascii="Verdana" w:eastAsia="Calibri" w:hAnsi="Verdana" w:cs="Arial"/>
              </w:rPr>
              <w:t>Consejo de Estado. Sala de Consulta y Servicio Civil. Concepto del 17 de febrero de 2015. C.P. William Zambrano Cetina. Radicación No. 11001-03-06-000-2015-00164-00(2269).</w:t>
            </w:r>
          </w:p>
          <w:p w14:paraId="0B6E467A" w14:textId="77777777" w:rsidR="00225C61" w:rsidRPr="000F46C6" w:rsidRDefault="00225C61" w:rsidP="00225C61">
            <w:pPr>
              <w:widowControl w:val="0"/>
              <w:numPr>
                <w:ilvl w:val="0"/>
                <w:numId w:val="20"/>
              </w:numPr>
              <w:autoSpaceDE w:val="0"/>
              <w:autoSpaceDN w:val="0"/>
              <w:spacing w:after="120" w:line="276" w:lineRule="auto"/>
              <w:jc w:val="both"/>
              <w:rPr>
                <w:rFonts w:ascii="Verdana" w:eastAsia="Calibri" w:hAnsi="Verdana" w:cs="Arial"/>
                <w:lang w:val="es-ES"/>
              </w:rPr>
            </w:pPr>
            <w:r w:rsidRPr="0061794C">
              <w:rPr>
                <w:rFonts w:ascii="Verdana" w:eastAsia="Calibri" w:hAnsi="Verdana" w:cs="Arial"/>
              </w:rPr>
              <w:t xml:space="preserve">Consejo de Estado, Sección Tercera. Auto del 4 de octubre de 2024. </w:t>
            </w:r>
            <w:r>
              <w:rPr>
                <w:rFonts w:ascii="Verdana" w:eastAsia="Calibri" w:hAnsi="Verdana" w:cs="Arial"/>
                <w:lang w:val="pt-BR"/>
              </w:rPr>
              <w:t>Exp</w:t>
            </w:r>
            <w:r w:rsidRPr="000F46C6">
              <w:rPr>
                <w:rFonts w:ascii="Verdana" w:eastAsia="Calibri" w:hAnsi="Verdana" w:cs="Arial"/>
                <w:lang w:val="pt-BR"/>
              </w:rPr>
              <w:t>. 70.313.</w:t>
            </w:r>
            <w:r>
              <w:rPr>
                <w:rFonts w:ascii="Verdana" w:eastAsia="Calibri" w:hAnsi="Verdana" w:cs="Arial"/>
                <w:lang w:val="pt-BR"/>
              </w:rPr>
              <w:t xml:space="preserve"> C.P</w:t>
            </w:r>
            <w:r w:rsidRPr="000F46C6">
              <w:rPr>
                <w:rFonts w:ascii="Verdana" w:eastAsia="Calibri" w:hAnsi="Verdana" w:cs="Arial"/>
                <w:lang w:val="pt-BR"/>
              </w:rPr>
              <w:t>: Fredy Ibarra Martínez</w:t>
            </w:r>
            <w:r>
              <w:rPr>
                <w:rFonts w:ascii="Verdana" w:eastAsia="Calibri" w:hAnsi="Verdana" w:cs="Arial"/>
                <w:lang w:val="pt-BR"/>
              </w:rPr>
              <w:t>.</w:t>
            </w:r>
          </w:p>
          <w:p w14:paraId="20925B56" w14:textId="77777777" w:rsidR="00225C61" w:rsidRPr="000F46C6" w:rsidRDefault="00225C61" w:rsidP="00225C61">
            <w:pPr>
              <w:widowControl w:val="0"/>
              <w:numPr>
                <w:ilvl w:val="0"/>
                <w:numId w:val="20"/>
              </w:numPr>
              <w:autoSpaceDE w:val="0"/>
              <w:autoSpaceDN w:val="0"/>
              <w:spacing w:after="120" w:line="276" w:lineRule="auto"/>
              <w:jc w:val="both"/>
              <w:rPr>
                <w:rFonts w:ascii="Verdana" w:eastAsia="Calibri" w:hAnsi="Verdana" w:cs="Arial"/>
                <w:lang w:val="es-ES"/>
              </w:rPr>
            </w:pPr>
            <w:r w:rsidRPr="0061794C">
              <w:rPr>
                <w:rFonts w:ascii="Verdana" w:eastAsia="Calibri" w:hAnsi="Verdana" w:cs="Arial"/>
                <w:lang w:val="pt-BR"/>
              </w:rPr>
              <w:t xml:space="preserve">Corte Constitucional. Sentencia C -1153 de 2005. </w:t>
            </w:r>
            <w:r w:rsidRPr="000F46C6">
              <w:rPr>
                <w:rFonts w:ascii="Verdana" w:eastAsia="Calibri" w:hAnsi="Verdana" w:cs="Arial"/>
                <w:lang w:val="es-ES"/>
              </w:rPr>
              <w:t xml:space="preserve">M.P. Marco Gerardo Monroy Cabra. </w:t>
            </w:r>
          </w:p>
          <w:p w14:paraId="29C6C1BE" w14:textId="77777777" w:rsidR="00225C61" w:rsidRPr="0061794C" w:rsidRDefault="00225C61" w:rsidP="00225C61">
            <w:pPr>
              <w:widowControl w:val="0"/>
              <w:numPr>
                <w:ilvl w:val="0"/>
                <w:numId w:val="20"/>
              </w:numPr>
              <w:autoSpaceDE w:val="0"/>
              <w:autoSpaceDN w:val="0"/>
              <w:spacing w:after="120" w:line="276" w:lineRule="auto"/>
              <w:jc w:val="both"/>
              <w:rPr>
                <w:rFonts w:ascii="Verdana" w:eastAsia="Calibri" w:hAnsi="Verdana" w:cs="Arial"/>
                <w:lang w:val="pt-BR"/>
              </w:rPr>
            </w:pPr>
            <w:r w:rsidRPr="000F46C6">
              <w:rPr>
                <w:rFonts w:ascii="Verdana" w:eastAsia="Calibri" w:hAnsi="Verdana" w:cs="Arial"/>
                <w:lang w:val="pt-BR"/>
              </w:rPr>
              <w:t>Corte Constitucional. Sentencia C-671 de 2015. M.P. Alberto Rojas Ríos</w:t>
            </w:r>
          </w:p>
        </w:tc>
      </w:tr>
    </w:tbl>
    <w:p w14:paraId="2A2945EC" w14:textId="302151DA" w:rsidR="00225C61" w:rsidRPr="0061794C" w:rsidRDefault="00225C61" w:rsidP="00225C61">
      <w:pPr>
        <w:widowControl w:val="0"/>
        <w:autoSpaceDE w:val="0"/>
        <w:autoSpaceDN w:val="0"/>
        <w:spacing w:after="0" w:line="276" w:lineRule="auto"/>
        <w:jc w:val="both"/>
        <w:rPr>
          <w:rFonts w:ascii="Verdana" w:hAnsi="Verdana" w:cs="Arial"/>
          <w:lang w:val="pt-BR"/>
        </w:rPr>
      </w:pPr>
    </w:p>
    <w:p w14:paraId="0C6C3F5C" w14:textId="77777777" w:rsidR="00225C61" w:rsidRPr="00AF0CA5" w:rsidRDefault="00225C61" w:rsidP="00225C61">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sidRPr="00AF0CA5">
        <w:rPr>
          <w:rFonts w:ascii="Verdana" w:eastAsia="Century Gothic" w:hAnsi="Verdana" w:cs="Century Gothic"/>
          <w:b/>
          <w:bCs/>
        </w:rPr>
        <w:t>Doctrina de la Agencia Nacional de Contratación Pública:</w:t>
      </w:r>
    </w:p>
    <w:p w14:paraId="2FC770FC" w14:textId="77777777" w:rsidR="00225C61" w:rsidRPr="00E2397D" w:rsidRDefault="00225C61" w:rsidP="00225C61">
      <w:pPr>
        <w:widowControl w:val="0"/>
        <w:autoSpaceDE w:val="0"/>
        <w:autoSpaceDN w:val="0"/>
        <w:spacing w:after="0" w:line="276" w:lineRule="auto"/>
        <w:jc w:val="both"/>
        <w:rPr>
          <w:rFonts w:ascii="Verdana" w:hAnsi="Verdana" w:cs="Arial"/>
        </w:rPr>
      </w:pPr>
    </w:p>
    <w:p w14:paraId="11462EBE" w14:textId="77777777" w:rsidR="00225C61" w:rsidRPr="00C056DC" w:rsidRDefault="00225C61" w:rsidP="00225C61">
      <w:pPr>
        <w:widowControl w:val="0"/>
        <w:autoSpaceDE w:val="0"/>
        <w:autoSpaceDN w:val="0"/>
        <w:spacing w:after="0" w:line="276" w:lineRule="auto"/>
        <w:jc w:val="both"/>
        <w:rPr>
          <w:rFonts w:ascii="Verdana" w:hAnsi="Verdana" w:cs="Arial"/>
          <w:shd w:val="clear" w:color="auto" w:fill="FFFFFF"/>
          <w:lang w:val="es-ES"/>
        </w:rPr>
      </w:pPr>
      <w:r w:rsidRPr="00E2397D">
        <w:rPr>
          <w:rFonts w:ascii="Verdana" w:hAnsi="Verdana" w:cs="Arial"/>
          <w:shd w:val="clear" w:color="auto" w:fill="FFFFFF"/>
          <w:lang w:val="es-ES"/>
        </w:rPr>
        <w:t>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w:t>
      </w:r>
      <w:r>
        <w:rPr>
          <w:rFonts w:ascii="Verdana" w:hAnsi="Verdana" w:cs="Arial"/>
          <w:shd w:val="clear" w:color="auto" w:fill="FFFFFF"/>
          <w:lang w:val="es-ES"/>
        </w:rPr>
        <w:t xml:space="preserve"> C-180 del 21 de marzo de 2025, C-317 del 25 de abril de 2025, C-510 del 4 de junio de 2025, C-646 del 26 de junio de 2025, entre otros</w:t>
      </w:r>
      <w:r w:rsidRPr="00E2397D">
        <w:rPr>
          <w:rFonts w:ascii="Verdana" w:hAnsi="Verdana" w:cs="Arial"/>
          <w:shd w:val="clear" w:color="auto" w:fill="FFFFFF"/>
          <w:lang w:val="es-ES"/>
        </w:rPr>
        <w:t xml:space="preserve">. </w:t>
      </w:r>
      <w:r>
        <w:rPr>
          <w:rFonts w:ascii="Verdana" w:hAnsi="Verdana" w:cs="Arial"/>
          <w:shd w:val="clear" w:color="auto" w:fill="FFFFFF"/>
        </w:rPr>
        <w:t>E</w:t>
      </w:r>
      <w:proofErr w:type="spellStart"/>
      <w:r w:rsidRPr="00E2397D">
        <w:rPr>
          <w:rFonts w:ascii="Verdana" w:hAnsi="Verdana" w:cs="Arial"/>
          <w:shd w:val="clear" w:color="auto" w:fill="FFFFFF"/>
          <w:lang w:val="es-ES"/>
        </w:rPr>
        <w:t>stos</w:t>
      </w:r>
      <w:proofErr w:type="spellEnd"/>
      <w:r w:rsidRPr="00E2397D">
        <w:rPr>
          <w:rFonts w:ascii="Verdana" w:hAnsi="Verdana" w:cs="Arial"/>
          <w:shd w:val="clear" w:color="auto" w:fill="FFFFFF"/>
          <w:lang w:val="es-ES"/>
        </w:rPr>
        <w:t xml:space="preserve"> y otros </w:t>
      </w:r>
      <w:r w:rsidRPr="00E2397D">
        <w:rPr>
          <w:rFonts w:ascii="Verdana" w:hAnsi="Verdana"/>
        </w:rPr>
        <w:t xml:space="preserve">conceptos se encuentran </w:t>
      </w:r>
      <w:r w:rsidRPr="00E2397D">
        <w:rPr>
          <w:rFonts w:ascii="Verdana" w:hAnsi="Verdana"/>
        </w:rPr>
        <w:lastRenderedPageBreak/>
        <w:t>disponibles para consulta en el Sistema de relatoría de la Agencia, al cual se puede acceder a través del siguiente enlace:</w:t>
      </w:r>
      <w:r w:rsidRPr="00E2397D">
        <w:rPr>
          <w:rFonts w:ascii="Verdana" w:hAnsi="Verdana" w:cs="Arial"/>
          <w:shd w:val="clear" w:color="auto" w:fill="FFFFFF"/>
        </w:rPr>
        <w:t xml:space="preserve"> </w:t>
      </w:r>
      <w:hyperlink r:id="rId13" w:history="1">
        <w:r w:rsidRPr="00E2397D">
          <w:rPr>
            <w:rFonts w:ascii="Verdana" w:hAnsi="Verdana" w:cs="Arial"/>
            <w:color w:val="0563C1" w:themeColor="hyperlink"/>
            <w:u w:val="single"/>
            <w:shd w:val="clear" w:color="auto" w:fill="FFFFFF"/>
          </w:rPr>
          <w:t>https://relatoria.colombiacompra.gov.co/busqueda/conceptos</w:t>
        </w:r>
      </w:hyperlink>
      <w:r w:rsidRPr="00E2397D">
        <w:rPr>
          <w:rFonts w:ascii="Verdana" w:hAnsi="Verdana" w:cs="Arial"/>
          <w:shd w:val="clear" w:color="auto" w:fill="FFFFFF"/>
        </w:rPr>
        <w:t>.</w:t>
      </w:r>
      <w:r w:rsidRPr="00E2397D">
        <w:rPr>
          <w:rFonts w:ascii="Verdana" w:hAnsi="Verdana" w:cs="Arial"/>
          <w:color w:val="FF0000"/>
          <w:shd w:val="clear" w:color="auto" w:fill="FFFFFF"/>
        </w:rPr>
        <w:t xml:space="preserve"> </w:t>
      </w:r>
      <w:r w:rsidRPr="00E2397D">
        <w:rPr>
          <w:rFonts w:ascii="Verdana" w:hAnsi="Verdana" w:cs="Arial"/>
          <w:color w:val="000000" w:themeColor="text1"/>
          <w:shd w:val="clear" w:color="auto" w:fill="FFFFFF"/>
        </w:rPr>
        <w:t>  </w:t>
      </w:r>
    </w:p>
    <w:p w14:paraId="4C7BF588" w14:textId="77777777" w:rsidR="00225C61" w:rsidRDefault="00225C61" w:rsidP="00225C61">
      <w:pPr>
        <w:spacing w:after="0"/>
        <w:jc w:val="both"/>
        <w:rPr>
          <w:rFonts w:ascii="Verdana" w:hAnsi="Verdana"/>
        </w:rPr>
      </w:pPr>
    </w:p>
    <w:p w14:paraId="4A873953" w14:textId="77777777" w:rsidR="00225C61" w:rsidRPr="0044528D" w:rsidRDefault="00225C61" w:rsidP="00225C61">
      <w:pPr>
        <w:spacing w:after="0"/>
        <w:jc w:val="both"/>
        <w:rPr>
          <w:rFonts w:ascii="Verdana" w:hAnsi="Verdana"/>
        </w:rPr>
      </w:pPr>
      <w:r w:rsidRPr="0044528D">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0AEF39A" w14:textId="77777777" w:rsidR="00225C61" w:rsidRPr="0044528D" w:rsidRDefault="00225C61" w:rsidP="00225C61">
      <w:pPr>
        <w:spacing w:after="0" w:line="240" w:lineRule="auto"/>
        <w:jc w:val="both"/>
        <w:rPr>
          <w:rFonts w:ascii="Verdana" w:hAnsi="Verdana"/>
        </w:rPr>
      </w:pPr>
    </w:p>
    <w:p w14:paraId="12C43B9B" w14:textId="77777777" w:rsidR="00225C61" w:rsidRPr="0044528D" w:rsidRDefault="00225C61" w:rsidP="00225C61">
      <w:pPr>
        <w:pStyle w:val="Prrafodelista"/>
        <w:numPr>
          <w:ilvl w:val="0"/>
          <w:numId w:val="15"/>
        </w:numPr>
        <w:spacing w:after="0" w:line="240" w:lineRule="auto"/>
        <w:jc w:val="both"/>
        <w:rPr>
          <w:rFonts w:ascii="Verdana" w:hAnsi="Verdana"/>
        </w:rPr>
      </w:pPr>
      <w:r w:rsidRPr="0044528D">
        <w:rPr>
          <w:rFonts w:ascii="Verdana" w:hAnsi="Verdana"/>
        </w:rPr>
        <w:t>Línea nacional gratuita o servicio a la ciudadanía: 01800 0520808</w:t>
      </w:r>
    </w:p>
    <w:p w14:paraId="0D2F68ED" w14:textId="77777777" w:rsidR="00225C61" w:rsidRPr="0044528D" w:rsidRDefault="00225C61" w:rsidP="00225C61">
      <w:pPr>
        <w:pStyle w:val="Prrafodelista"/>
        <w:numPr>
          <w:ilvl w:val="0"/>
          <w:numId w:val="15"/>
        </w:numPr>
        <w:spacing w:after="0" w:line="240" w:lineRule="auto"/>
        <w:jc w:val="both"/>
        <w:rPr>
          <w:rFonts w:ascii="Verdana" w:hAnsi="Verdana"/>
        </w:rPr>
      </w:pPr>
      <w:r w:rsidRPr="0044528D">
        <w:rPr>
          <w:rFonts w:ascii="Verdana" w:hAnsi="Verdana"/>
        </w:rPr>
        <w:t>Línea en Bogotá (Mesa de servicio): +57 601 7456788</w:t>
      </w:r>
    </w:p>
    <w:p w14:paraId="6ED907BD" w14:textId="77777777" w:rsidR="00225C61" w:rsidRPr="0044528D" w:rsidRDefault="00225C61" w:rsidP="00225C61">
      <w:pPr>
        <w:pStyle w:val="Prrafodelista"/>
        <w:numPr>
          <w:ilvl w:val="0"/>
          <w:numId w:val="15"/>
        </w:numPr>
        <w:spacing w:after="0" w:line="240" w:lineRule="auto"/>
        <w:jc w:val="both"/>
        <w:rPr>
          <w:rFonts w:ascii="Verdana" w:hAnsi="Verdana"/>
        </w:rPr>
      </w:pPr>
      <w:r w:rsidRPr="0044528D">
        <w:rPr>
          <w:rFonts w:ascii="Verdana" w:hAnsi="Verdana"/>
        </w:rPr>
        <w:t>Línea de servicio y atención al ciudadano: +57 601 7956600</w:t>
      </w:r>
    </w:p>
    <w:p w14:paraId="170ACDFB" w14:textId="77777777" w:rsidR="00225C61" w:rsidRPr="0044528D" w:rsidRDefault="00225C61" w:rsidP="00225C61">
      <w:pPr>
        <w:pStyle w:val="Prrafodelista"/>
        <w:numPr>
          <w:ilvl w:val="0"/>
          <w:numId w:val="15"/>
        </w:numPr>
        <w:spacing w:after="0" w:line="240" w:lineRule="auto"/>
        <w:jc w:val="both"/>
        <w:rPr>
          <w:rFonts w:ascii="Verdana" w:hAnsi="Verdana"/>
        </w:rPr>
      </w:pPr>
      <w:r w:rsidRPr="0044528D">
        <w:rPr>
          <w:rFonts w:ascii="Verdana" w:hAnsi="Verdana"/>
        </w:rPr>
        <w:t xml:space="preserve">Página web: </w:t>
      </w:r>
      <w:hyperlink r:id="rId14" w:history="1">
        <w:r w:rsidRPr="0044528D">
          <w:rPr>
            <w:rStyle w:val="Hipervnculo"/>
            <w:rFonts w:ascii="Verdana" w:hAnsi="Verdana"/>
          </w:rPr>
          <w:t>www.colombiacompra.gov.co</w:t>
        </w:r>
      </w:hyperlink>
    </w:p>
    <w:p w14:paraId="148CD474" w14:textId="77777777" w:rsidR="00225C61" w:rsidRPr="0044528D" w:rsidRDefault="00225C61" w:rsidP="00225C61">
      <w:pPr>
        <w:pStyle w:val="Prrafodelista"/>
        <w:spacing w:after="0" w:line="240" w:lineRule="auto"/>
        <w:ind w:left="785"/>
        <w:jc w:val="both"/>
        <w:rPr>
          <w:rFonts w:ascii="Verdana" w:hAnsi="Verdana"/>
        </w:rPr>
      </w:pPr>
    </w:p>
    <w:p w14:paraId="79BF1771" w14:textId="77777777" w:rsidR="00225C61" w:rsidRPr="0044528D" w:rsidRDefault="00225C61" w:rsidP="00225C61">
      <w:pPr>
        <w:spacing w:after="0" w:line="240" w:lineRule="auto"/>
        <w:jc w:val="both"/>
        <w:rPr>
          <w:rFonts w:ascii="Verdana" w:hAnsi="Verdana"/>
        </w:rPr>
      </w:pPr>
      <w:r w:rsidRPr="0044528D">
        <w:rPr>
          <w:rFonts w:ascii="Verdana" w:hAnsi="Verdana"/>
        </w:rPr>
        <w:t xml:space="preserve">Por último, lo invitamos a seguirnos en las redes sociales en las cuales se difunde información institucional: </w:t>
      </w:r>
    </w:p>
    <w:p w14:paraId="32F337D2" w14:textId="77777777" w:rsidR="00225C61" w:rsidRPr="0044528D" w:rsidRDefault="00225C61" w:rsidP="00225C61">
      <w:pPr>
        <w:spacing w:after="0" w:line="240" w:lineRule="auto"/>
        <w:jc w:val="both"/>
        <w:rPr>
          <w:rFonts w:ascii="Verdana" w:hAnsi="Verdana"/>
        </w:rPr>
      </w:pPr>
    </w:p>
    <w:p w14:paraId="37B1512D" w14:textId="77777777" w:rsidR="00225C61" w:rsidRPr="0044528D" w:rsidRDefault="00225C61" w:rsidP="00225C61">
      <w:pPr>
        <w:spacing w:after="0" w:line="240" w:lineRule="auto"/>
        <w:jc w:val="both"/>
        <w:rPr>
          <w:rFonts w:ascii="Verdana" w:hAnsi="Verdana"/>
        </w:rPr>
      </w:pPr>
      <w:r w:rsidRPr="0044528D">
        <w:rPr>
          <w:rFonts w:ascii="Verdana" w:hAnsi="Verdana"/>
        </w:rPr>
        <w:t xml:space="preserve">Twitter: </w:t>
      </w:r>
      <w:r w:rsidRPr="0044528D">
        <w:rPr>
          <w:rStyle w:val="Hipervnculo"/>
          <w:rFonts w:ascii="Verdana" w:hAnsi="Verdana"/>
        </w:rPr>
        <w:t>@colombiacompra</w:t>
      </w:r>
      <w:r w:rsidRPr="0044528D">
        <w:rPr>
          <w:rFonts w:ascii="Verdana" w:hAnsi="Verdana"/>
        </w:rPr>
        <w:t xml:space="preserve"> </w:t>
      </w:r>
    </w:p>
    <w:p w14:paraId="2883F5AE" w14:textId="77777777" w:rsidR="00225C61" w:rsidRPr="0044528D" w:rsidRDefault="00225C61" w:rsidP="00225C61">
      <w:pPr>
        <w:spacing w:after="0" w:line="240" w:lineRule="auto"/>
        <w:jc w:val="both"/>
        <w:rPr>
          <w:rFonts w:ascii="Verdana" w:hAnsi="Verdana"/>
        </w:rPr>
      </w:pPr>
      <w:r w:rsidRPr="0044528D">
        <w:rPr>
          <w:rFonts w:ascii="Verdana" w:hAnsi="Verdana"/>
        </w:rPr>
        <w:t xml:space="preserve">Facebook: </w:t>
      </w:r>
      <w:proofErr w:type="spellStart"/>
      <w:r w:rsidRPr="0044528D">
        <w:rPr>
          <w:rStyle w:val="Hipervnculo"/>
          <w:rFonts w:ascii="Verdana" w:hAnsi="Verdana"/>
        </w:rPr>
        <w:t>ColombiaCompraEficiente</w:t>
      </w:r>
      <w:proofErr w:type="spellEnd"/>
    </w:p>
    <w:p w14:paraId="6974CEE1" w14:textId="77777777" w:rsidR="00225C61" w:rsidRPr="0044528D" w:rsidRDefault="00225C61" w:rsidP="00225C61">
      <w:pPr>
        <w:spacing w:after="0" w:line="240" w:lineRule="auto"/>
        <w:jc w:val="both"/>
        <w:rPr>
          <w:rFonts w:ascii="Verdana" w:hAnsi="Verdana"/>
        </w:rPr>
      </w:pPr>
      <w:r w:rsidRPr="0044528D">
        <w:rPr>
          <w:rFonts w:ascii="Verdana" w:hAnsi="Verdana"/>
        </w:rPr>
        <w:t xml:space="preserve">LinkedIn: </w:t>
      </w:r>
      <w:r w:rsidRPr="0044528D">
        <w:rPr>
          <w:rStyle w:val="Hipervnculo"/>
          <w:rFonts w:ascii="Verdana" w:hAnsi="Verdana"/>
        </w:rPr>
        <w:t>Agencia Nacional de Contratación Pública - Colombia Compra Eficiente</w:t>
      </w:r>
      <w:r w:rsidRPr="0044528D">
        <w:rPr>
          <w:rFonts w:ascii="Verdana" w:hAnsi="Verdana"/>
        </w:rPr>
        <w:t xml:space="preserve"> Instagram: </w:t>
      </w:r>
      <w:r w:rsidRPr="0044528D">
        <w:rPr>
          <w:rStyle w:val="Hipervnculo"/>
          <w:rFonts w:ascii="Verdana" w:hAnsi="Verdana"/>
        </w:rPr>
        <w:t>@colombiacompraeficiente_cce</w:t>
      </w:r>
    </w:p>
    <w:p w14:paraId="41317032" w14:textId="77777777" w:rsidR="00225C61" w:rsidRPr="0044528D" w:rsidRDefault="00225C61" w:rsidP="00225C61">
      <w:pPr>
        <w:spacing w:after="0" w:line="240" w:lineRule="auto"/>
        <w:jc w:val="both"/>
        <w:rPr>
          <w:rFonts w:ascii="Verdana" w:hAnsi="Verdana"/>
        </w:rPr>
      </w:pPr>
    </w:p>
    <w:p w14:paraId="20A9FB91" w14:textId="77777777" w:rsidR="00225C61" w:rsidRPr="00185EE9" w:rsidRDefault="00225C61" w:rsidP="00225C61">
      <w:pPr>
        <w:spacing w:after="0" w:line="25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424B581" w14:textId="77777777" w:rsidR="00225C61" w:rsidRPr="00185EE9" w:rsidRDefault="00225C61" w:rsidP="00225C61">
      <w:pPr>
        <w:spacing w:after="0" w:line="256" w:lineRule="auto"/>
        <w:jc w:val="both"/>
        <w:rPr>
          <w:rFonts w:ascii="Verdana" w:eastAsia="Calibri" w:hAnsi="Verdana" w:cs="Times New Roman"/>
        </w:rPr>
      </w:pPr>
    </w:p>
    <w:p w14:paraId="511729F6" w14:textId="34271DBB" w:rsidR="00225C61" w:rsidRPr="00225C61" w:rsidRDefault="00225C61" w:rsidP="00225C61">
      <w:pPr>
        <w:spacing w:after="0" w:line="256" w:lineRule="auto"/>
        <w:jc w:val="both"/>
        <w:rPr>
          <w:rFonts w:ascii="Verdana" w:eastAsia="Calibri" w:hAnsi="Verdana" w:cs="Times New Roman"/>
        </w:rPr>
      </w:pPr>
      <w:r w:rsidRPr="00185EE9">
        <w:rPr>
          <w:rFonts w:ascii="Verdana" w:eastAsia="Calibri" w:hAnsi="Verdana" w:cs="Times New Roman"/>
        </w:rPr>
        <w:t>Atentamente,</w:t>
      </w:r>
    </w:p>
    <w:p w14:paraId="36DF0B04" w14:textId="3764AE7C" w:rsidR="002E5C5F" w:rsidRDefault="002E5C5F" w:rsidP="002E5C5F">
      <w:pPr>
        <w:spacing w:after="0" w:line="256" w:lineRule="auto"/>
        <w:jc w:val="center"/>
        <w:rPr>
          <w:rFonts w:ascii="Verdana" w:eastAsia="Calibri" w:hAnsi="Verdana" w:cs="Times New Roman"/>
          <w:lang w:val="es-ES"/>
        </w:rPr>
      </w:pPr>
      <w:r w:rsidRPr="002C3AD6">
        <w:rPr>
          <w:rFonts w:ascii="Century Gothic" w:hAnsi="Century Gothic"/>
          <w:noProof/>
          <w:lang w:val="en-US"/>
        </w:rPr>
        <w:drawing>
          <wp:inline distT="0" distB="0" distL="0" distR="0" wp14:anchorId="2C4FDDDE" wp14:editId="0EFF45EC">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312722" cy="1229722"/>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25C61" w:rsidRPr="00185EE9" w14:paraId="600B0D54" w14:textId="77777777" w:rsidTr="006270D8">
        <w:trPr>
          <w:trHeight w:val="409"/>
        </w:trPr>
        <w:tc>
          <w:tcPr>
            <w:tcW w:w="817" w:type="dxa"/>
            <w:tcBorders>
              <w:top w:val="nil"/>
              <w:left w:val="nil"/>
              <w:bottom w:val="nil"/>
              <w:right w:val="nil"/>
            </w:tcBorders>
            <w:vAlign w:val="center"/>
            <w:hideMark/>
          </w:tcPr>
          <w:p w14:paraId="048BDA7D" w14:textId="77777777" w:rsidR="00225C61" w:rsidRPr="00185EE9" w:rsidRDefault="00225C61" w:rsidP="006270D8">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0449AF20" w14:textId="77777777" w:rsidR="00225C61" w:rsidRPr="00185EE9" w:rsidRDefault="00225C61" w:rsidP="006270D8">
            <w:pPr>
              <w:spacing w:after="0" w:line="256" w:lineRule="auto"/>
              <w:rPr>
                <w:rFonts w:ascii="Verdana" w:eastAsia="Calibri" w:hAnsi="Verdana" w:cs="Times New Roman"/>
                <w:sz w:val="16"/>
                <w:szCs w:val="16"/>
              </w:rPr>
            </w:pPr>
            <w:r>
              <w:rPr>
                <w:rFonts w:ascii="Verdana" w:eastAsia="Calibri" w:hAnsi="Verdana" w:cs="Times New Roman"/>
                <w:sz w:val="16"/>
                <w:szCs w:val="16"/>
              </w:rPr>
              <w:t xml:space="preserve">José Luis Sánchez Cardona </w:t>
            </w:r>
          </w:p>
          <w:p w14:paraId="19D01D91" w14:textId="77777777" w:rsidR="00225C61" w:rsidRPr="00185EE9" w:rsidRDefault="00225C61" w:rsidP="006270D8">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Contratista de la Subdirección de Gestión Contractual</w:t>
            </w:r>
          </w:p>
        </w:tc>
      </w:tr>
      <w:tr w:rsidR="00225C61" w:rsidRPr="00185EE9" w14:paraId="3D11CBC3" w14:textId="77777777" w:rsidTr="006270D8">
        <w:trPr>
          <w:trHeight w:val="409"/>
        </w:trPr>
        <w:tc>
          <w:tcPr>
            <w:tcW w:w="817" w:type="dxa"/>
            <w:tcBorders>
              <w:top w:val="nil"/>
              <w:left w:val="nil"/>
              <w:bottom w:val="nil"/>
              <w:right w:val="nil"/>
            </w:tcBorders>
            <w:vAlign w:val="center"/>
            <w:hideMark/>
          </w:tcPr>
          <w:p w14:paraId="230B3E90" w14:textId="77777777" w:rsidR="00225C61" w:rsidRPr="00185EE9" w:rsidRDefault="00225C61" w:rsidP="006270D8">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16BD523" w14:textId="77777777" w:rsidR="00225C61" w:rsidRPr="00A12CB6" w:rsidRDefault="00225C61" w:rsidP="006270D8">
            <w:pPr>
              <w:spacing w:after="0" w:line="256" w:lineRule="auto"/>
              <w:rPr>
                <w:rFonts w:ascii="Verdana" w:eastAsia="Calibri" w:hAnsi="Verdana" w:cs="Times New Roman"/>
                <w:sz w:val="16"/>
                <w:szCs w:val="16"/>
              </w:rPr>
            </w:pPr>
            <w:r>
              <w:rPr>
                <w:rFonts w:ascii="Verdana" w:eastAsia="Calibri" w:hAnsi="Verdana" w:cs="Times New Roman"/>
                <w:sz w:val="16"/>
                <w:szCs w:val="16"/>
              </w:rPr>
              <w:t>Diana Lucía Saavedra Castañeda</w:t>
            </w:r>
          </w:p>
          <w:p w14:paraId="20DC4362" w14:textId="77777777" w:rsidR="00225C61" w:rsidRPr="00A50E16" w:rsidRDefault="00225C61" w:rsidP="006270D8">
            <w:pPr>
              <w:spacing w:after="0" w:line="256" w:lineRule="auto"/>
              <w:rPr>
                <w:rFonts w:ascii="Verdana" w:eastAsia="Calibri" w:hAnsi="Verdana" w:cs="Times New Roman"/>
                <w:sz w:val="16"/>
                <w:szCs w:val="16"/>
                <w:highlight w:val="yellow"/>
              </w:rPr>
            </w:pPr>
            <w:r>
              <w:rPr>
                <w:rFonts w:ascii="Verdana" w:eastAsia="Calibri" w:hAnsi="Verdana" w:cs="Times New Roman"/>
                <w:sz w:val="16"/>
                <w:szCs w:val="16"/>
              </w:rPr>
              <w:t>Contratista</w:t>
            </w:r>
            <w:r w:rsidRPr="00A12CB6">
              <w:rPr>
                <w:rFonts w:ascii="Verdana" w:eastAsia="Calibri" w:hAnsi="Verdana" w:cs="Times New Roman"/>
                <w:sz w:val="16"/>
                <w:szCs w:val="16"/>
              </w:rPr>
              <w:t xml:space="preserve"> de la Subdirección de Gestión Contractual </w:t>
            </w:r>
          </w:p>
        </w:tc>
      </w:tr>
      <w:tr w:rsidR="00225C61" w:rsidRPr="00A445C0" w14:paraId="6990B249" w14:textId="77777777" w:rsidTr="006270D8">
        <w:trPr>
          <w:trHeight w:val="389"/>
        </w:trPr>
        <w:tc>
          <w:tcPr>
            <w:tcW w:w="817" w:type="dxa"/>
            <w:tcBorders>
              <w:top w:val="nil"/>
              <w:left w:val="nil"/>
              <w:bottom w:val="nil"/>
              <w:right w:val="nil"/>
            </w:tcBorders>
            <w:vAlign w:val="center"/>
            <w:hideMark/>
          </w:tcPr>
          <w:p w14:paraId="6EC2CFEA" w14:textId="77777777" w:rsidR="00225C61" w:rsidRPr="00185EE9" w:rsidRDefault="00225C61" w:rsidP="006270D8">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2AF44E2" w14:textId="77777777" w:rsidR="00225C61" w:rsidRPr="00185EE9" w:rsidRDefault="00225C61" w:rsidP="006270D8">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 xml:space="preserve">Carolina Quintero </w:t>
            </w:r>
            <w:proofErr w:type="spellStart"/>
            <w:r w:rsidRPr="00185EE9">
              <w:rPr>
                <w:rFonts w:ascii="Verdana" w:eastAsia="Calibri" w:hAnsi="Verdana" w:cs="Times New Roman"/>
                <w:sz w:val="16"/>
                <w:szCs w:val="16"/>
              </w:rPr>
              <w:t>Gacharná</w:t>
            </w:r>
            <w:proofErr w:type="spellEnd"/>
          </w:p>
          <w:p w14:paraId="58F27C20" w14:textId="77777777" w:rsidR="00225C61" w:rsidRPr="00AE2631" w:rsidRDefault="00225C61" w:rsidP="006270D8">
            <w:pPr>
              <w:spacing w:after="0" w:line="256" w:lineRule="auto"/>
              <w:rPr>
                <w:rFonts w:ascii="Verdana" w:eastAsia="Calibri" w:hAnsi="Verdana" w:cs="Times New Roman"/>
                <w:sz w:val="16"/>
                <w:szCs w:val="16"/>
              </w:rPr>
            </w:pPr>
            <w:r w:rsidRPr="00185EE9">
              <w:rPr>
                <w:rFonts w:ascii="Verdana" w:eastAsia="Calibri" w:hAnsi="Verdana" w:cs="Times New Roman"/>
                <w:sz w:val="16"/>
                <w:szCs w:val="16"/>
              </w:rPr>
              <w:t>Subdirectora de Gestión Contractual ANCP – CCE</w:t>
            </w:r>
          </w:p>
        </w:tc>
      </w:tr>
      <w:bookmarkEnd w:id="0"/>
    </w:tbl>
    <w:p w14:paraId="531E177E" w14:textId="41A87BC1" w:rsidR="007D7CFD" w:rsidRPr="00225C61" w:rsidRDefault="007D7CFD" w:rsidP="00225C61">
      <w:pPr>
        <w:rPr>
          <w:lang w:val="es-ES"/>
        </w:rPr>
      </w:pPr>
    </w:p>
    <w:sectPr w:rsidR="007D7CFD" w:rsidRPr="00225C61"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5C046" w14:textId="77777777" w:rsidR="00D95B2A" w:rsidRDefault="00D95B2A" w:rsidP="004A1847">
      <w:pPr>
        <w:spacing w:after="0" w:line="240" w:lineRule="auto"/>
      </w:pPr>
      <w:r>
        <w:separator/>
      </w:r>
    </w:p>
  </w:endnote>
  <w:endnote w:type="continuationSeparator" w:id="0">
    <w:p w14:paraId="652F47AC" w14:textId="77777777" w:rsidR="00D95B2A" w:rsidRDefault="00D95B2A" w:rsidP="004A1847">
      <w:pPr>
        <w:spacing w:after="0" w:line="240" w:lineRule="auto"/>
      </w:pPr>
      <w:r>
        <w:continuationSeparator/>
      </w:r>
    </w:p>
  </w:endnote>
  <w:endnote w:type="continuationNotice" w:id="1">
    <w:p w14:paraId="0A5093F4" w14:textId="77777777" w:rsidR="00D95B2A" w:rsidRDefault="00D95B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505795" w:rsidRDefault="00505795">
    <w:pPr>
      <w:pStyle w:val="Piedepgina"/>
    </w:pPr>
  </w:p>
  <w:p w14:paraId="594D6D9F" w14:textId="393E54EC" w:rsidR="00505795" w:rsidRPr="00174B77" w:rsidRDefault="0050579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2E5C5F" w:rsidRPr="002E5C5F">
      <w:rPr>
        <w:rFonts w:ascii="Verdana" w:eastAsiaTheme="minorEastAsia" w:hAnsi="Verdana"/>
        <w:b/>
        <w:bCs/>
        <w:noProof/>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505795" w:rsidRDefault="0050579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505795" w:rsidRPr="00E41027" w:rsidRDefault="00505795"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505795" w:rsidRDefault="0050579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7DBF7" w14:textId="77777777" w:rsidR="00D95B2A" w:rsidRDefault="00D95B2A" w:rsidP="004A1847">
      <w:pPr>
        <w:spacing w:after="0" w:line="240" w:lineRule="auto"/>
      </w:pPr>
      <w:r>
        <w:separator/>
      </w:r>
    </w:p>
  </w:footnote>
  <w:footnote w:type="continuationSeparator" w:id="0">
    <w:p w14:paraId="256ADAE3" w14:textId="77777777" w:rsidR="00D95B2A" w:rsidRDefault="00D95B2A" w:rsidP="004A1847">
      <w:pPr>
        <w:spacing w:after="0" w:line="240" w:lineRule="auto"/>
      </w:pPr>
      <w:r>
        <w:continuationSeparator/>
      </w:r>
    </w:p>
  </w:footnote>
  <w:footnote w:type="continuationNotice" w:id="1">
    <w:p w14:paraId="55A8E305" w14:textId="77777777" w:rsidR="00D95B2A" w:rsidRDefault="00D95B2A">
      <w:pPr>
        <w:spacing w:after="0" w:line="240" w:lineRule="auto"/>
      </w:pPr>
    </w:p>
  </w:footnote>
  <w:footnote w:id="2">
    <w:p w14:paraId="5F51A6BB" w14:textId="77777777" w:rsidR="00225C61" w:rsidRPr="00834E33" w:rsidRDefault="00225C61" w:rsidP="00225C61">
      <w:pPr>
        <w:pStyle w:val="Textonotapie"/>
        <w:ind w:firstLine="709"/>
        <w:jc w:val="both"/>
        <w:rPr>
          <w:rFonts w:ascii="Verdana" w:hAnsi="Verdana" w:cs="Arial"/>
          <w:sz w:val="16"/>
          <w:szCs w:val="16"/>
        </w:rPr>
      </w:pPr>
      <w:r w:rsidRPr="00834E33">
        <w:rPr>
          <w:rStyle w:val="Refdenotaalpie"/>
          <w:rFonts w:ascii="Verdana" w:hAnsi="Verdana" w:cs="Arial"/>
          <w:sz w:val="16"/>
          <w:szCs w:val="16"/>
        </w:rPr>
        <w:footnoteRef/>
      </w:r>
      <w:r w:rsidRPr="00834E33">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A7649A5" w14:textId="77777777" w:rsidR="00225C61" w:rsidRPr="00834E33" w:rsidRDefault="00225C61" w:rsidP="00225C61">
      <w:pPr>
        <w:pStyle w:val="Textonotapie"/>
        <w:ind w:firstLine="709"/>
        <w:jc w:val="both"/>
        <w:rPr>
          <w:rFonts w:ascii="Verdana" w:hAnsi="Verdana" w:cs="Arial"/>
          <w:sz w:val="16"/>
          <w:szCs w:val="16"/>
        </w:rPr>
      </w:pPr>
      <w:r w:rsidRPr="00834E33">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06F4267F" w14:textId="77777777" w:rsidR="00225C61" w:rsidRPr="00834E33" w:rsidRDefault="00225C61" w:rsidP="00225C61">
      <w:pPr>
        <w:pStyle w:val="Textonotapie"/>
        <w:ind w:firstLine="709"/>
        <w:jc w:val="both"/>
        <w:rPr>
          <w:rFonts w:ascii="Verdana" w:hAnsi="Verdana" w:cs="Arial"/>
          <w:sz w:val="16"/>
          <w:szCs w:val="16"/>
        </w:rPr>
      </w:pPr>
      <w:r w:rsidRPr="00834E33">
        <w:rPr>
          <w:rStyle w:val="Refdenotaalpie"/>
          <w:rFonts w:ascii="Verdana" w:hAnsi="Verdana" w:cs="Arial"/>
          <w:sz w:val="16"/>
          <w:szCs w:val="16"/>
        </w:rPr>
        <w:footnoteRef/>
      </w:r>
      <w:r w:rsidRPr="00834E33">
        <w:rPr>
          <w:rFonts w:ascii="Verdana" w:hAnsi="Verdana" w:cs="Arial"/>
          <w:sz w:val="16"/>
          <w:szCs w:val="16"/>
        </w:rPr>
        <w:t xml:space="preserve"> Gaceta del Congreso de la República No. 71 del 2005.</w:t>
      </w:r>
    </w:p>
  </w:footnote>
  <w:footnote w:id="4">
    <w:p w14:paraId="5F758AA9" w14:textId="77777777" w:rsidR="00225C61" w:rsidRPr="00834E33" w:rsidRDefault="00225C61" w:rsidP="00225C61">
      <w:pPr>
        <w:pStyle w:val="Textonotapie"/>
        <w:ind w:firstLine="709"/>
        <w:jc w:val="both"/>
        <w:rPr>
          <w:rFonts w:ascii="Verdana" w:hAnsi="Verdana" w:cs="Arial"/>
          <w:sz w:val="16"/>
          <w:szCs w:val="16"/>
          <w:lang w:val="pt-BR"/>
        </w:rPr>
      </w:pPr>
      <w:r w:rsidRPr="00834E33">
        <w:rPr>
          <w:rStyle w:val="Refdenotaalpie"/>
          <w:rFonts w:ascii="Verdana" w:hAnsi="Verdana" w:cs="Arial"/>
          <w:sz w:val="16"/>
          <w:szCs w:val="16"/>
        </w:rPr>
        <w:footnoteRef/>
      </w:r>
      <w:r w:rsidRPr="00834E33">
        <w:rPr>
          <w:rFonts w:ascii="Verdana" w:hAnsi="Verdana" w:cs="Arial"/>
          <w:sz w:val="16"/>
          <w:szCs w:val="16"/>
          <w:lang w:val="pt-BR"/>
        </w:rPr>
        <w:t xml:space="preserve"> Corte Constitucional, Sentencia C- 1153 de 2005, M.P. Marco Gerardo </w:t>
      </w:r>
      <w:proofErr w:type="spellStart"/>
      <w:r w:rsidRPr="00834E33">
        <w:rPr>
          <w:rFonts w:ascii="Verdana" w:hAnsi="Verdana" w:cs="Arial"/>
          <w:sz w:val="16"/>
          <w:szCs w:val="16"/>
          <w:lang w:val="pt-BR"/>
        </w:rPr>
        <w:t>Monroy</w:t>
      </w:r>
      <w:proofErr w:type="spellEnd"/>
      <w:r w:rsidRPr="00834E33">
        <w:rPr>
          <w:rFonts w:ascii="Verdana" w:hAnsi="Verdana" w:cs="Arial"/>
          <w:sz w:val="16"/>
          <w:szCs w:val="16"/>
          <w:lang w:val="pt-BR"/>
        </w:rPr>
        <w:t xml:space="preserve"> Cabra.</w:t>
      </w:r>
    </w:p>
  </w:footnote>
  <w:footnote w:id="5">
    <w:p w14:paraId="3B555BE6" w14:textId="77777777" w:rsidR="00225C61" w:rsidRPr="00834E33" w:rsidRDefault="00225C61" w:rsidP="00225C61">
      <w:pPr>
        <w:pStyle w:val="Textonotapie"/>
        <w:ind w:firstLine="709"/>
        <w:jc w:val="both"/>
        <w:rPr>
          <w:rFonts w:ascii="Verdana" w:hAnsi="Verdana" w:cs="Arial"/>
          <w:sz w:val="16"/>
          <w:szCs w:val="16"/>
          <w:lang w:val="pt-BR"/>
        </w:rPr>
      </w:pPr>
      <w:r w:rsidRPr="00834E33">
        <w:rPr>
          <w:rStyle w:val="Refdenotaalpie"/>
          <w:rFonts w:ascii="Verdana" w:hAnsi="Verdana" w:cs="Arial"/>
          <w:sz w:val="16"/>
          <w:szCs w:val="16"/>
        </w:rPr>
        <w:footnoteRef/>
      </w:r>
      <w:r w:rsidRPr="00834E33">
        <w:rPr>
          <w:rFonts w:ascii="Verdana" w:hAnsi="Verdana" w:cs="Arial"/>
          <w:sz w:val="16"/>
          <w:szCs w:val="16"/>
          <w:lang w:val="pt-BR"/>
        </w:rPr>
        <w:t xml:space="preserve"> Corte Constitucional. Sentencias: C-233 de 4 de abril de 2002, expediente: D-3704; C-551 de 9 de </w:t>
      </w:r>
      <w:proofErr w:type="spellStart"/>
      <w:r w:rsidRPr="00834E33">
        <w:rPr>
          <w:rFonts w:ascii="Verdana" w:hAnsi="Verdana" w:cs="Arial"/>
          <w:sz w:val="16"/>
          <w:szCs w:val="16"/>
          <w:lang w:val="pt-BR"/>
        </w:rPr>
        <w:t>julio</w:t>
      </w:r>
      <w:proofErr w:type="spellEnd"/>
      <w:r w:rsidRPr="00834E33">
        <w:rPr>
          <w:rFonts w:ascii="Verdana" w:hAnsi="Verdana" w:cs="Arial"/>
          <w:sz w:val="16"/>
          <w:szCs w:val="16"/>
          <w:lang w:val="pt-BR"/>
        </w:rPr>
        <w:t xml:space="preserve"> de 2003, expediente: CRF-001 de 9 de </w:t>
      </w:r>
      <w:proofErr w:type="spellStart"/>
      <w:r w:rsidRPr="00834E33">
        <w:rPr>
          <w:rFonts w:ascii="Verdana" w:hAnsi="Verdana" w:cs="Arial"/>
          <w:sz w:val="16"/>
          <w:szCs w:val="16"/>
          <w:lang w:val="pt-BR"/>
        </w:rPr>
        <w:t>julio</w:t>
      </w:r>
      <w:proofErr w:type="spellEnd"/>
      <w:r w:rsidRPr="00834E33">
        <w:rPr>
          <w:rFonts w:ascii="Verdana" w:hAnsi="Verdana" w:cs="Arial"/>
          <w:sz w:val="16"/>
          <w:szCs w:val="16"/>
          <w:lang w:val="pt-BR"/>
        </w:rPr>
        <w:t xml:space="preserve"> de 2003; C-652 de 5 de agosto de 2003, expediente: D-4330; C-353 de 20 de </w:t>
      </w:r>
      <w:proofErr w:type="spellStart"/>
      <w:r w:rsidRPr="00834E33">
        <w:rPr>
          <w:rFonts w:ascii="Verdana" w:hAnsi="Verdana" w:cs="Arial"/>
          <w:sz w:val="16"/>
          <w:szCs w:val="16"/>
          <w:lang w:val="pt-BR"/>
        </w:rPr>
        <w:t>mayo</w:t>
      </w:r>
      <w:proofErr w:type="spellEnd"/>
      <w:r w:rsidRPr="00834E33">
        <w:rPr>
          <w:rFonts w:ascii="Verdana" w:hAnsi="Verdana" w:cs="Arial"/>
          <w:sz w:val="16"/>
          <w:szCs w:val="16"/>
          <w:lang w:val="pt-BR"/>
        </w:rPr>
        <w:t xml:space="preserve"> de 2009, expediente: D-7518, C-541 de 30 de </w:t>
      </w:r>
      <w:proofErr w:type="spellStart"/>
      <w:r w:rsidRPr="00834E33">
        <w:rPr>
          <w:rFonts w:ascii="Verdana" w:hAnsi="Verdana" w:cs="Arial"/>
          <w:sz w:val="16"/>
          <w:szCs w:val="16"/>
          <w:lang w:val="pt-BR"/>
        </w:rPr>
        <w:t>junio</w:t>
      </w:r>
      <w:proofErr w:type="spellEnd"/>
      <w:r w:rsidRPr="00834E33">
        <w:rPr>
          <w:rFonts w:ascii="Verdana" w:hAnsi="Verdana" w:cs="Arial"/>
          <w:sz w:val="16"/>
          <w:szCs w:val="16"/>
          <w:lang w:val="pt-BR"/>
        </w:rPr>
        <w:t xml:space="preserve"> de 2010, expediente: DD7966; entre </w:t>
      </w:r>
      <w:proofErr w:type="spellStart"/>
      <w:r w:rsidRPr="00834E33">
        <w:rPr>
          <w:rFonts w:ascii="Verdana" w:hAnsi="Verdana" w:cs="Arial"/>
          <w:sz w:val="16"/>
          <w:szCs w:val="16"/>
          <w:lang w:val="pt-BR"/>
        </w:rPr>
        <w:t>otras</w:t>
      </w:r>
      <w:proofErr w:type="spellEnd"/>
      <w:r w:rsidRPr="00834E33">
        <w:rPr>
          <w:rFonts w:ascii="Verdana" w:hAnsi="Verdana" w:cs="Arial"/>
          <w:sz w:val="16"/>
          <w:szCs w:val="16"/>
          <w:lang w:val="pt-BR"/>
        </w:rPr>
        <w:t>.</w:t>
      </w:r>
    </w:p>
  </w:footnote>
  <w:footnote w:id="6">
    <w:p w14:paraId="54B34C9D" w14:textId="77777777" w:rsidR="00225C61" w:rsidRPr="00834E33" w:rsidRDefault="00225C61" w:rsidP="00225C61">
      <w:pPr>
        <w:pStyle w:val="Textonotapie"/>
        <w:ind w:firstLine="709"/>
        <w:jc w:val="both"/>
        <w:rPr>
          <w:rFonts w:ascii="Verdana" w:hAnsi="Verdana" w:cs="Arial"/>
          <w:sz w:val="16"/>
          <w:szCs w:val="16"/>
          <w:lang w:val="es-CO"/>
        </w:rPr>
      </w:pPr>
      <w:r w:rsidRPr="00834E33">
        <w:rPr>
          <w:rStyle w:val="Refdenotaalpie"/>
          <w:rFonts w:ascii="Verdana" w:hAnsi="Verdana" w:cs="Arial"/>
          <w:sz w:val="16"/>
          <w:szCs w:val="16"/>
        </w:rPr>
        <w:footnoteRef/>
      </w:r>
      <w:r w:rsidRPr="00834E33">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7D8EF680" w14:textId="77777777" w:rsidR="00225C61" w:rsidRPr="00834E33" w:rsidRDefault="00225C61" w:rsidP="00225C61">
      <w:pPr>
        <w:pStyle w:val="Textonotapie"/>
        <w:ind w:firstLine="709"/>
        <w:jc w:val="both"/>
        <w:rPr>
          <w:rFonts w:ascii="Verdana" w:hAnsi="Verdana" w:cs="Arial"/>
          <w:sz w:val="16"/>
          <w:szCs w:val="16"/>
        </w:rPr>
      </w:pPr>
      <w:r w:rsidRPr="00834E33">
        <w:rPr>
          <w:rStyle w:val="Refdenotaalpie"/>
          <w:rFonts w:ascii="Verdana" w:hAnsi="Verdana" w:cs="Arial"/>
          <w:sz w:val="16"/>
          <w:szCs w:val="16"/>
        </w:rPr>
        <w:footnoteRef/>
      </w:r>
      <w:r w:rsidRPr="00834E33">
        <w:rPr>
          <w:rFonts w:ascii="Verdana" w:hAnsi="Verdana" w:cs="Arial"/>
          <w:sz w:val="16"/>
          <w:szCs w:val="16"/>
        </w:rPr>
        <w:t xml:space="preserve"> Consejo de Estado, Sala de Consulta y Servicio Civil de fecha 24 de julio de 2013, Rad. 2166, C. P. Álvaro </w:t>
      </w:r>
      <w:proofErr w:type="spellStart"/>
      <w:r w:rsidRPr="00834E33">
        <w:rPr>
          <w:rFonts w:ascii="Verdana" w:hAnsi="Verdana" w:cs="Arial"/>
          <w:sz w:val="16"/>
          <w:szCs w:val="16"/>
        </w:rPr>
        <w:t>Namén</w:t>
      </w:r>
      <w:proofErr w:type="spellEnd"/>
      <w:r w:rsidRPr="00834E33">
        <w:rPr>
          <w:rFonts w:ascii="Verdana" w:hAnsi="Verdana" w:cs="Arial"/>
          <w:sz w:val="16"/>
          <w:szCs w:val="16"/>
        </w:rPr>
        <w:t xml:space="preserve"> Vargas.  </w:t>
      </w:r>
    </w:p>
  </w:footnote>
  <w:footnote w:id="8">
    <w:p w14:paraId="70939A09" w14:textId="77777777" w:rsidR="00225C61" w:rsidRPr="00834E33" w:rsidRDefault="00225C61" w:rsidP="00225C61">
      <w:pPr>
        <w:spacing w:after="0" w:line="240" w:lineRule="auto"/>
        <w:ind w:firstLine="709"/>
        <w:jc w:val="both"/>
        <w:rPr>
          <w:rFonts w:ascii="Verdana" w:eastAsia="Times New Roman" w:hAnsi="Verdana" w:cs="Arial"/>
          <w:sz w:val="16"/>
          <w:szCs w:val="16"/>
        </w:rPr>
      </w:pPr>
      <w:r w:rsidRPr="00834E33">
        <w:rPr>
          <w:rStyle w:val="Refdenotaalpie"/>
          <w:rFonts w:ascii="Verdana" w:hAnsi="Verdana" w:cs="Arial"/>
          <w:sz w:val="16"/>
          <w:szCs w:val="16"/>
        </w:rPr>
        <w:footnoteRef/>
      </w:r>
      <w:r w:rsidRPr="00834E33">
        <w:rPr>
          <w:rFonts w:ascii="Verdana" w:hAnsi="Verdana" w:cs="Arial"/>
          <w:sz w:val="16"/>
          <w:szCs w:val="16"/>
        </w:rPr>
        <w:t xml:space="preserve"> </w:t>
      </w:r>
      <w:r w:rsidRPr="00834E33">
        <w:rPr>
          <w:rFonts w:ascii="Verdana" w:eastAsia="Calibri" w:hAnsi="Verdana" w:cs="Arial"/>
          <w:color w:val="000000"/>
          <w:sz w:val="16"/>
          <w:szCs w:val="16"/>
        </w:rPr>
        <w:t>“</w:t>
      </w:r>
      <w:r w:rsidRPr="00834E33">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6989501D" w14:textId="77777777" w:rsidR="00225C61" w:rsidRPr="00834E33" w:rsidRDefault="00225C61" w:rsidP="00225C61">
      <w:pPr>
        <w:spacing w:after="0" w:line="240" w:lineRule="auto"/>
        <w:ind w:firstLine="709"/>
        <w:jc w:val="both"/>
        <w:rPr>
          <w:rFonts w:ascii="Verdana" w:eastAsia="Times New Roman" w:hAnsi="Verdana" w:cs="Arial"/>
          <w:sz w:val="16"/>
          <w:szCs w:val="16"/>
        </w:rPr>
      </w:pPr>
      <w:r w:rsidRPr="00834E33">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34E33">
        <w:rPr>
          <w:rFonts w:ascii="Verdana" w:eastAsia="Calibri" w:hAnsi="Verdana" w:cs="Arial"/>
          <w:color w:val="000000"/>
          <w:sz w:val="16"/>
          <w:szCs w:val="16"/>
        </w:rPr>
        <w:t>”</w:t>
      </w:r>
      <w:r w:rsidRPr="00834E33">
        <w:rPr>
          <w:rFonts w:ascii="Verdana" w:eastAsia="Times New Roman" w:hAnsi="Verdana" w:cs="Arial"/>
          <w:sz w:val="16"/>
          <w:szCs w:val="16"/>
        </w:rPr>
        <w:t>.</w:t>
      </w:r>
    </w:p>
    <w:p w14:paraId="53D36AAF" w14:textId="77777777" w:rsidR="00225C61" w:rsidRPr="00834E33" w:rsidRDefault="00225C61" w:rsidP="00225C61">
      <w:pPr>
        <w:spacing w:after="0" w:line="240" w:lineRule="auto"/>
        <w:ind w:firstLine="709"/>
        <w:jc w:val="both"/>
        <w:rPr>
          <w:rFonts w:ascii="Verdana" w:eastAsia="Times New Roman" w:hAnsi="Verdana" w:cs="Arial"/>
          <w:sz w:val="16"/>
          <w:szCs w:val="16"/>
        </w:rPr>
      </w:pPr>
    </w:p>
  </w:footnote>
  <w:footnote w:id="9">
    <w:p w14:paraId="70B0A8F8" w14:textId="77777777" w:rsidR="00225C61" w:rsidRPr="00834E33" w:rsidRDefault="00225C61" w:rsidP="00225C61">
      <w:pPr>
        <w:pStyle w:val="NormalWeb"/>
        <w:spacing w:before="0" w:beforeAutospacing="0" w:after="0" w:afterAutospacing="0"/>
        <w:ind w:firstLine="709"/>
        <w:jc w:val="both"/>
        <w:rPr>
          <w:rFonts w:ascii="Verdana" w:hAnsi="Verdana" w:cs="Arial"/>
          <w:sz w:val="16"/>
          <w:szCs w:val="16"/>
          <w:lang w:val="es-MX"/>
        </w:rPr>
      </w:pPr>
      <w:r w:rsidRPr="00834E33">
        <w:rPr>
          <w:rStyle w:val="Refdenotaalpie"/>
          <w:rFonts w:ascii="Verdana" w:hAnsi="Verdana" w:cs="Arial"/>
          <w:sz w:val="16"/>
          <w:szCs w:val="16"/>
        </w:rPr>
        <w:footnoteRef/>
      </w:r>
      <w:r w:rsidRPr="00834E33">
        <w:rPr>
          <w:rFonts w:ascii="Verdana" w:hAnsi="Verdana" w:cs="Arial"/>
          <w:sz w:val="16"/>
          <w:szCs w:val="16"/>
        </w:rPr>
        <w:t xml:space="preserve"> </w:t>
      </w:r>
      <w:r w:rsidRPr="00834E33">
        <w:rPr>
          <w:rFonts w:ascii="Verdana" w:eastAsia="Calibri" w:hAnsi="Verdana" w:cs="Arial"/>
          <w:color w:val="000000"/>
          <w:sz w:val="16"/>
          <w:szCs w:val="16"/>
        </w:rPr>
        <w:t>“</w:t>
      </w:r>
      <w:r w:rsidRPr="00834E33">
        <w:rPr>
          <w:rFonts w:ascii="Verdana" w:hAnsi="Verdana" w:cs="Arial"/>
          <w:sz w:val="16"/>
          <w:szCs w:val="16"/>
          <w:lang w:val="es-MX"/>
        </w:rPr>
        <w:t>Artículo 38. Prohibiciones para los servidores públicos. A los empleados del Estado les está prohibido: […]</w:t>
      </w:r>
    </w:p>
    <w:p w14:paraId="444F136D" w14:textId="77777777" w:rsidR="00225C61" w:rsidRPr="00834E33" w:rsidRDefault="00225C61" w:rsidP="00225C61">
      <w:pPr>
        <w:pStyle w:val="NormalWeb"/>
        <w:spacing w:before="0" w:beforeAutospacing="0" w:after="0" w:afterAutospacing="0"/>
        <w:ind w:firstLine="709"/>
        <w:jc w:val="both"/>
        <w:rPr>
          <w:rFonts w:ascii="Verdana" w:hAnsi="Verdana" w:cs="Arial"/>
          <w:sz w:val="16"/>
          <w:szCs w:val="16"/>
          <w:lang w:val="es-MX"/>
        </w:rPr>
      </w:pPr>
      <w:r w:rsidRPr="00834E33">
        <w:rPr>
          <w:rStyle w:val="baj"/>
          <w:rFonts w:ascii="Verdana" w:hAnsi="Verdana" w:cs="Arial"/>
          <w:sz w:val="16"/>
          <w:szCs w:val="16"/>
          <w:lang w:val="es-MX"/>
        </w:rPr>
        <w:t>Parágrafo.</w:t>
      </w:r>
      <w:r w:rsidRPr="00834E33">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34E33">
        <w:rPr>
          <w:rFonts w:ascii="Verdana" w:eastAsia="Calibri" w:hAnsi="Verdana" w:cs="Arial"/>
          <w:color w:val="000000"/>
          <w:sz w:val="16"/>
          <w:szCs w:val="16"/>
        </w:rPr>
        <w:t>”</w:t>
      </w:r>
      <w:r w:rsidRPr="00834E33">
        <w:rPr>
          <w:rFonts w:ascii="Verdana" w:hAnsi="Verdana" w:cs="Arial"/>
          <w:sz w:val="16"/>
          <w:szCs w:val="16"/>
          <w:lang w:val="es-MX"/>
        </w:rPr>
        <w:t>.</w:t>
      </w:r>
    </w:p>
  </w:footnote>
  <w:footnote w:id="10">
    <w:p w14:paraId="28A914A4" w14:textId="77777777" w:rsidR="00225C61" w:rsidRPr="00834E33" w:rsidRDefault="00225C61" w:rsidP="00225C61">
      <w:pPr>
        <w:pStyle w:val="Textonotapie"/>
        <w:ind w:firstLine="708"/>
        <w:jc w:val="both"/>
        <w:rPr>
          <w:rFonts w:ascii="Verdana" w:hAnsi="Verdana" w:cs="Arial"/>
          <w:sz w:val="16"/>
          <w:szCs w:val="16"/>
        </w:rPr>
      </w:pPr>
      <w:r w:rsidRPr="00834E33">
        <w:rPr>
          <w:rStyle w:val="Refdenotaalpie"/>
          <w:rFonts w:ascii="Verdana" w:hAnsi="Verdana" w:cs="Arial"/>
          <w:sz w:val="16"/>
          <w:szCs w:val="16"/>
        </w:rPr>
        <w:footnoteRef/>
      </w:r>
      <w:r w:rsidRPr="00834E33">
        <w:rPr>
          <w:rFonts w:ascii="Verdana" w:hAnsi="Verdana" w:cs="Arial"/>
          <w:sz w:val="16"/>
          <w:szCs w:val="16"/>
        </w:rPr>
        <w:t xml:space="preserve"> Colombia Compra Eficiente. Circular Externa Única. Numeral 16.5. </w:t>
      </w:r>
    </w:p>
  </w:footnote>
  <w:footnote w:id="11">
    <w:p w14:paraId="79899B76" w14:textId="77777777" w:rsidR="00225C61" w:rsidRPr="00834E33" w:rsidRDefault="00225C61" w:rsidP="00225C61">
      <w:pPr>
        <w:spacing w:after="0" w:line="240" w:lineRule="auto"/>
        <w:ind w:left="100" w:right="244" w:firstLine="709"/>
        <w:jc w:val="both"/>
        <w:rPr>
          <w:rFonts w:ascii="Verdana" w:hAnsi="Verdana" w:cs="Arial"/>
          <w:sz w:val="16"/>
          <w:szCs w:val="16"/>
          <w:lang w:val="es-ES"/>
        </w:rPr>
      </w:pPr>
      <w:r w:rsidRPr="00834E33">
        <w:rPr>
          <w:rStyle w:val="Refdenotaalpie"/>
          <w:rFonts w:ascii="Verdana" w:hAnsi="Verdana" w:cs="Arial"/>
          <w:sz w:val="16"/>
          <w:szCs w:val="16"/>
        </w:rPr>
        <w:footnoteRef/>
      </w:r>
      <w:r w:rsidRPr="00834E33">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2">
    <w:p w14:paraId="2F1DED70" w14:textId="77777777" w:rsidR="00225C61" w:rsidRPr="00834E33" w:rsidRDefault="00225C61" w:rsidP="00225C61">
      <w:pPr>
        <w:pStyle w:val="Textonotapie"/>
        <w:ind w:firstLine="708"/>
        <w:jc w:val="both"/>
        <w:rPr>
          <w:rFonts w:ascii="Verdana" w:hAnsi="Verdana" w:cs="Arial"/>
          <w:sz w:val="16"/>
          <w:szCs w:val="16"/>
        </w:rPr>
      </w:pPr>
      <w:r w:rsidRPr="00834E33">
        <w:rPr>
          <w:rStyle w:val="Refdenotaalpie"/>
          <w:rFonts w:ascii="Verdana" w:hAnsi="Verdana" w:cs="Arial"/>
          <w:sz w:val="16"/>
          <w:szCs w:val="16"/>
        </w:rPr>
        <w:footnoteRef/>
      </w:r>
      <w:r w:rsidRPr="00834E33">
        <w:rPr>
          <w:rFonts w:ascii="Verdana" w:hAnsi="Verdana" w:cs="Arial"/>
          <w:sz w:val="16"/>
          <w:szCs w:val="16"/>
        </w:rPr>
        <w:t xml:space="preserve"> Colombia Compra Eficiente. Circular Externa Única. Numeral 16.5. </w:t>
      </w:r>
    </w:p>
  </w:footnote>
  <w:footnote w:id="13">
    <w:p w14:paraId="2A2AA6FF" w14:textId="77777777" w:rsidR="00225C61" w:rsidRPr="00834E33" w:rsidRDefault="00225C61" w:rsidP="00225C61">
      <w:pPr>
        <w:pStyle w:val="Textonotapie"/>
        <w:ind w:firstLine="708"/>
        <w:jc w:val="both"/>
        <w:rPr>
          <w:rFonts w:ascii="Verdana" w:hAnsi="Verdana" w:cs="Arial"/>
          <w:sz w:val="16"/>
          <w:szCs w:val="16"/>
        </w:rPr>
      </w:pPr>
      <w:r w:rsidRPr="00834E33">
        <w:rPr>
          <w:rStyle w:val="Refdenotaalpie"/>
          <w:rFonts w:ascii="Verdana" w:hAnsi="Verdana" w:cs="Arial"/>
          <w:sz w:val="16"/>
          <w:szCs w:val="16"/>
        </w:rPr>
        <w:footnoteRef/>
      </w:r>
      <w:r w:rsidRPr="00834E33">
        <w:rPr>
          <w:rFonts w:ascii="Verdana" w:hAnsi="Verdana" w:cs="Arial"/>
          <w:sz w:val="16"/>
          <w:szCs w:val="16"/>
        </w:rPr>
        <w:t xml:space="preserve"> Es lo que sucede, por ejemplo, con el Decreto 092 de 2017, que en su desarrollo hace referencia tanto a los “contratos” como a los “convenios”. </w:t>
      </w:r>
    </w:p>
  </w:footnote>
  <w:footnote w:id="14">
    <w:p w14:paraId="41555F26" w14:textId="77777777" w:rsidR="00225C61" w:rsidRPr="00834E33" w:rsidRDefault="00225C61" w:rsidP="00225C61">
      <w:pPr>
        <w:pStyle w:val="Textonotapie"/>
        <w:ind w:firstLine="708"/>
        <w:jc w:val="both"/>
        <w:rPr>
          <w:rFonts w:ascii="Verdana" w:hAnsi="Verdana" w:cs="Arial"/>
          <w:sz w:val="16"/>
          <w:szCs w:val="16"/>
          <w:lang w:val="pt-BR"/>
        </w:rPr>
      </w:pPr>
      <w:r w:rsidRPr="00834E33">
        <w:rPr>
          <w:rStyle w:val="Refdenotaalpie"/>
          <w:rFonts w:ascii="Verdana" w:hAnsi="Verdana" w:cs="Arial"/>
          <w:sz w:val="16"/>
          <w:szCs w:val="16"/>
        </w:rPr>
        <w:footnoteRef/>
      </w:r>
      <w:r w:rsidRPr="00834E33">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w:t>
      </w:r>
      <w:r w:rsidRPr="00834E33">
        <w:rPr>
          <w:rFonts w:ascii="Verdana" w:hAnsi="Verdana" w:cs="Arial"/>
          <w:sz w:val="16"/>
          <w:szCs w:val="16"/>
          <w:lang w:val="pt-BR"/>
        </w:rPr>
        <w:t>(Corte Constitucional. Sentencia C-671 de 2015. M.P. Alberto Rojas Ríos).</w:t>
      </w:r>
    </w:p>
  </w:footnote>
  <w:footnote w:id="15">
    <w:p w14:paraId="03301ED5" w14:textId="77777777" w:rsidR="00225C61" w:rsidRPr="00834E33" w:rsidRDefault="00225C61" w:rsidP="00225C61">
      <w:pPr>
        <w:pStyle w:val="Textonotapie"/>
        <w:ind w:firstLine="709"/>
        <w:rPr>
          <w:rFonts w:ascii="Verdana" w:hAnsi="Verdana"/>
          <w:sz w:val="16"/>
          <w:szCs w:val="16"/>
          <w:lang w:val="es-CO"/>
        </w:rPr>
      </w:pPr>
      <w:r w:rsidRPr="00834E33">
        <w:rPr>
          <w:rStyle w:val="Refdenotaalpie"/>
          <w:rFonts w:ascii="Verdana" w:hAnsi="Verdana"/>
          <w:sz w:val="16"/>
          <w:szCs w:val="16"/>
        </w:rPr>
        <w:footnoteRef/>
      </w:r>
      <w:r w:rsidRPr="00834E33">
        <w:rPr>
          <w:rFonts w:ascii="Verdana" w:hAnsi="Verdana"/>
          <w:sz w:val="16"/>
          <w:szCs w:val="16"/>
          <w:lang w:val="es-CO"/>
        </w:rPr>
        <w:t xml:space="preserve"> </w:t>
      </w:r>
      <w:r w:rsidRPr="00834E33">
        <w:rPr>
          <w:rFonts w:ascii="Verdana" w:hAnsi="Verdana" w:cs="Arial"/>
          <w:sz w:val="16"/>
          <w:szCs w:val="16"/>
          <w:lang w:val="es-CO"/>
        </w:rPr>
        <w:t xml:space="preserve">Consejo de Estado, Sección Tercera. Auto del 4 de octubre de 2024. </w:t>
      </w:r>
      <w:proofErr w:type="spellStart"/>
      <w:r w:rsidRPr="00834E33">
        <w:rPr>
          <w:rFonts w:ascii="Verdana" w:hAnsi="Verdana" w:cs="Arial"/>
          <w:sz w:val="16"/>
          <w:szCs w:val="16"/>
          <w:lang w:val="es-CO"/>
        </w:rPr>
        <w:t>Exp</w:t>
      </w:r>
      <w:proofErr w:type="spellEnd"/>
      <w:r w:rsidRPr="00834E33">
        <w:rPr>
          <w:rFonts w:ascii="Verdana" w:hAnsi="Verdana" w:cs="Arial"/>
          <w:sz w:val="16"/>
          <w:szCs w:val="16"/>
          <w:lang w:val="es-CO"/>
        </w:rPr>
        <w:t>. 70.313. C.P: Fredy Ibarra Martínez</w:t>
      </w:r>
    </w:p>
  </w:footnote>
  <w:footnote w:id="16">
    <w:p w14:paraId="681B85AD" w14:textId="77777777" w:rsidR="00225C61" w:rsidRPr="00834E33" w:rsidRDefault="00225C61" w:rsidP="00225C61">
      <w:pPr>
        <w:pStyle w:val="Textonotapie"/>
        <w:ind w:firstLine="709"/>
        <w:jc w:val="both"/>
        <w:rPr>
          <w:rFonts w:ascii="Verdana" w:hAnsi="Verdana" w:cs="Arial"/>
          <w:sz w:val="16"/>
          <w:szCs w:val="16"/>
        </w:rPr>
      </w:pPr>
      <w:r w:rsidRPr="00834E33">
        <w:rPr>
          <w:rStyle w:val="Refdenotaalpie"/>
          <w:rFonts w:ascii="Verdana" w:hAnsi="Verdana" w:cs="Arial"/>
          <w:sz w:val="16"/>
          <w:szCs w:val="16"/>
        </w:rPr>
        <w:footnoteRef/>
      </w:r>
      <w:r w:rsidRPr="00834E33">
        <w:rPr>
          <w:rFonts w:ascii="Verdana" w:hAnsi="Verdana" w:cs="Arial"/>
          <w:sz w:val="16"/>
          <w:szCs w:val="16"/>
        </w:rPr>
        <w:t xml:space="preserve"> Consejo de Estado. Sala de Consulta y Servicio Civil. Concepto del 15 de noviembre de 2007. Expediente número 1863. Consejero Ponente: Luis Fernando Álvarez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505795" w:rsidRDefault="00505795">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505795" w:rsidRDefault="00505795">
    <w:pPr>
      <w:pStyle w:val="Encabezado"/>
    </w:pPr>
  </w:p>
  <w:p w14:paraId="3079FC11" w14:textId="77777777" w:rsidR="00505795" w:rsidRDefault="00505795" w:rsidP="004A305D">
    <w:pPr>
      <w:spacing w:after="0"/>
      <w:rPr>
        <w:rFonts w:ascii="Verdana" w:hAnsi="Verdana"/>
        <w:b/>
        <w:bCs/>
      </w:rPr>
    </w:pPr>
  </w:p>
  <w:p w14:paraId="5E18350A" w14:textId="705F7B76" w:rsidR="00505795" w:rsidRPr="004A305D" w:rsidRDefault="00505795" w:rsidP="00B01B1A">
    <w:pPr>
      <w:spacing w:after="0" w:line="120" w:lineRule="auto"/>
      <w:rPr>
        <w:rFonts w:ascii="Century Gothic" w:eastAsia="Geo" w:hAnsi="Century Gothic" w:cs="Geo"/>
        <w:sz w:val="16"/>
        <w:szCs w:val="16"/>
        <w:lang w:eastAsia="es-CO"/>
      </w:rPr>
    </w:pPr>
  </w:p>
  <w:p w14:paraId="1FD1C243" w14:textId="6D74A3CF" w:rsidR="00505795" w:rsidRDefault="0050579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51B5B4E"/>
    <w:multiLevelType w:val="hybridMultilevel"/>
    <w:tmpl w:val="C3923F82"/>
    <w:lvl w:ilvl="0" w:tplc="ECBA39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DBF6B6"/>
    <w:multiLevelType w:val="hybridMultilevel"/>
    <w:tmpl w:val="E00CB3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A4771A8"/>
    <w:multiLevelType w:val="hybridMultilevel"/>
    <w:tmpl w:val="0E1245A2"/>
    <w:lvl w:ilvl="0" w:tplc="89122320">
      <w:start w:val="1"/>
      <w:numFmt w:val="lowerRoman"/>
      <w:lvlText w:val="%1."/>
      <w:lvlJc w:val="left"/>
      <w:pPr>
        <w:ind w:left="1080" w:hanging="72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2"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213002318">
    <w:abstractNumId w:val="13"/>
  </w:num>
  <w:num w:numId="2" w16cid:durableId="965888845">
    <w:abstractNumId w:val="3"/>
  </w:num>
  <w:num w:numId="3" w16cid:durableId="1759209667">
    <w:abstractNumId w:val="11"/>
  </w:num>
  <w:num w:numId="4" w16cid:durableId="15452903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6778377">
    <w:abstractNumId w:val="3"/>
  </w:num>
  <w:num w:numId="6" w16cid:durableId="847908742">
    <w:abstractNumId w:val="26"/>
  </w:num>
  <w:num w:numId="7" w16cid:durableId="1982268046">
    <w:abstractNumId w:val="12"/>
  </w:num>
  <w:num w:numId="8" w16cid:durableId="2146313745">
    <w:abstractNumId w:val="25"/>
  </w:num>
  <w:num w:numId="9" w16cid:durableId="871109571">
    <w:abstractNumId w:val="14"/>
  </w:num>
  <w:num w:numId="10" w16cid:durableId="416558008">
    <w:abstractNumId w:val="24"/>
  </w:num>
  <w:num w:numId="11" w16cid:durableId="1771507924">
    <w:abstractNumId w:val="15"/>
  </w:num>
  <w:num w:numId="12" w16cid:durableId="1212381756">
    <w:abstractNumId w:val="1"/>
  </w:num>
  <w:num w:numId="13" w16cid:durableId="454327641">
    <w:abstractNumId w:val="8"/>
  </w:num>
  <w:num w:numId="14" w16cid:durableId="798837774">
    <w:abstractNumId w:val="27"/>
  </w:num>
  <w:num w:numId="15" w16cid:durableId="1888685601">
    <w:abstractNumId w:val="23"/>
  </w:num>
  <w:num w:numId="16" w16cid:durableId="122900035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43680345">
    <w:abstractNumId w:val="4"/>
  </w:num>
  <w:num w:numId="18" w16cid:durableId="406389639">
    <w:abstractNumId w:val="22"/>
  </w:num>
  <w:num w:numId="19" w16cid:durableId="1392267073">
    <w:abstractNumId w:val="10"/>
  </w:num>
  <w:num w:numId="20" w16cid:durableId="567811911">
    <w:abstractNumId w:val="16"/>
  </w:num>
  <w:num w:numId="21" w16cid:durableId="1093209114">
    <w:abstractNumId w:val="28"/>
  </w:num>
  <w:num w:numId="22" w16cid:durableId="262349650">
    <w:abstractNumId w:val="19"/>
  </w:num>
  <w:num w:numId="23" w16cid:durableId="267199553">
    <w:abstractNumId w:val="7"/>
  </w:num>
  <w:num w:numId="24" w16cid:durableId="294526301">
    <w:abstractNumId w:val="17"/>
  </w:num>
  <w:num w:numId="25" w16cid:durableId="1649943823">
    <w:abstractNumId w:val="2"/>
  </w:num>
  <w:num w:numId="26" w16cid:durableId="1915776467">
    <w:abstractNumId w:val="5"/>
  </w:num>
  <w:num w:numId="27" w16cid:durableId="1320114087">
    <w:abstractNumId w:val="20"/>
  </w:num>
  <w:num w:numId="28" w16cid:durableId="1556238629">
    <w:abstractNumId w:val="6"/>
  </w:num>
  <w:num w:numId="29" w16cid:durableId="1575313001">
    <w:abstractNumId w:val="9"/>
  </w:num>
  <w:num w:numId="30" w16cid:durableId="1062603043">
    <w:abstractNumId w:val="0"/>
  </w:num>
  <w:num w:numId="31" w16cid:durableId="1765607082">
    <w:abstractNumId w:val="18"/>
  </w:num>
  <w:num w:numId="32" w16cid:durableId="135896656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97D"/>
    <w:rsid w:val="0001328B"/>
    <w:rsid w:val="00016FFB"/>
    <w:rsid w:val="000224F2"/>
    <w:rsid w:val="00023C3E"/>
    <w:rsid w:val="0002653B"/>
    <w:rsid w:val="00034682"/>
    <w:rsid w:val="00035E21"/>
    <w:rsid w:val="00040B74"/>
    <w:rsid w:val="00042856"/>
    <w:rsid w:val="0004434A"/>
    <w:rsid w:val="0005281E"/>
    <w:rsid w:val="00055421"/>
    <w:rsid w:val="0005682C"/>
    <w:rsid w:val="00056D71"/>
    <w:rsid w:val="00057D91"/>
    <w:rsid w:val="00061B2A"/>
    <w:rsid w:val="00062BAF"/>
    <w:rsid w:val="000630B9"/>
    <w:rsid w:val="000643B2"/>
    <w:rsid w:val="00065E80"/>
    <w:rsid w:val="00066BB4"/>
    <w:rsid w:val="0007022C"/>
    <w:rsid w:val="00071DE6"/>
    <w:rsid w:val="000754B0"/>
    <w:rsid w:val="00077439"/>
    <w:rsid w:val="000774B8"/>
    <w:rsid w:val="00082362"/>
    <w:rsid w:val="0008328D"/>
    <w:rsid w:val="00084D78"/>
    <w:rsid w:val="00091602"/>
    <w:rsid w:val="0009387A"/>
    <w:rsid w:val="0009387B"/>
    <w:rsid w:val="000963C6"/>
    <w:rsid w:val="000974AC"/>
    <w:rsid w:val="0009762F"/>
    <w:rsid w:val="000A31B9"/>
    <w:rsid w:val="000A3330"/>
    <w:rsid w:val="000A36D8"/>
    <w:rsid w:val="000A3D63"/>
    <w:rsid w:val="000A683A"/>
    <w:rsid w:val="000A683E"/>
    <w:rsid w:val="000B19B9"/>
    <w:rsid w:val="000B3001"/>
    <w:rsid w:val="000B52FE"/>
    <w:rsid w:val="000C2889"/>
    <w:rsid w:val="000C3673"/>
    <w:rsid w:val="000C538B"/>
    <w:rsid w:val="000D0152"/>
    <w:rsid w:val="000D0334"/>
    <w:rsid w:val="000D0B4D"/>
    <w:rsid w:val="000D3B29"/>
    <w:rsid w:val="000E06F4"/>
    <w:rsid w:val="000E1AC7"/>
    <w:rsid w:val="000E4CE4"/>
    <w:rsid w:val="000F46C6"/>
    <w:rsid w:val="000F6486"/>
    <w:rsid w:val="000F669F"/>
    <w:rsid w:val="0010534D"/>
    <w:rsid w:val="001063B3"/>
    <w:rsid w:val="00107ACA"/>
    <w:rsid w:val="001114A9"/>
    <w:rsid w:val="00111979"/>
    <w:rsid w:val="0011546E"/>
    <w:rsid w:val="00116537"/>
    <w:rsid w:val="00116894"/>
    <w:rsid w:val="00120766"/>
    <w:rsid w:val="00122FA6"/>
    <w:rsid w:val="001240BD"/>
    <w:rsid w:val="00125105"/>
    <w:rsid w:val="001268F7"/>
    <w:rsid w:val="00127233"/>
    <w:rsid w:val="001276D9"/>
    <w:rsid w:val="00131E5F"/>
    <w:rsid w:val="001372FC"/>
    <w:rsid w:val="00143E81"/>
    <w:rsid w:val="00143FD9"/>
    <w:rsid w:val="00145047"/>
    <w:rsid w:val="00146C57"/>
    <w:rsid w:val="00150ADA"/>
    <w:rsid w:val="001569A8"/>
    <w:rsid w:val="00162D09"/>
    <w:rsid w:val="0016332F"/>
    <w:rsid w:val="0016642E"/>
    <w:rsid w:val="001717E9"/>
    <w:rsid w:val="0017238A"/>
    <w:rsid w:val="001800BA"/>
    <w:rsid w:val="00180A30"/>
    <w:rsid w:val="00185EE9"/>
    <w:rsid w:val="00187F79"/>
    <w:rsid w:val="00196F32"/>
    <w:rsid w:val="00197274"/>
    <w:rsid w:val="001A0B04"/>
    <w:rsid w:val="001A237A"/>
    <w:rsid w:val="001A26CF"/>
    <w:rsid w:val="001A2919"/>
    <w:rsid w:val="001B2CFE"/>
    <w:rsid w:val="001B3DD7"/>
    <w:rsid w:val="001C222E"/>
    <w:rsid w:val="001C22F9"/>
    <w:rsid w:val="001D1C29"/>
    <w:rsid w:val="001D2CCC"/>
    <w:rsid w:val="001E3C06"/>
    <w:rsid w:val="001E4177"/>
    <w:rsid w:val="001F0A0F"/>
    <w:rsid w:val="001F218E"/>
    <w:rsid w:val="001F4EFD"/>
    <w:rsid w:val="001F5E13"/>
    <w:rsid w:val="001F6D11"/>
    <w:rsid w:val="001F7DC6"/>
    <w:rsid w:val="00202886"/>
    <w:rsid w:val="00205784"/>
    <w:rsid w:val="00206CC8"/>
    <w:rsid w:val="00210946"/>
    <w:rsid w:val="00213510"/>
    <w:rsid w:val="0021372A"/>
    <w:rsid w:val="00215CEF"/>
    <w:rsid w:val="00217A08"/>
    <w:rsid w:val="00220B77"/>
    <w:rsid w:val="00221D27"/>
    <w:rsid w:val="00225C61"/>
    <w:rsid w:val="00230EF3"/>
    <w:rsid w:val="00237233"/>
    <w:rsid w:val="002421BB"/>
    <w:rsid w:val="00245707"/>
    <w:rsid w:val="00246A81"/>
    <w:rsid w:val="00251A5F"/>
    <w:rsid w:val="00252B30"/>
    <w:rsid w:val="0025796E"/>
    <w:rsid w:val="002603E5"/>
    <w:rsid w:val="002638B2"/>
    <w:rsid w:val="002660F2"/>
    <w:rsid w:val="002664BB"/>
    <w:rsid w:val="002707A2"/>
    <w:rsid w:val="00273620"/>
    <w:rsid w:val="00277150"/>
    <w:rsid w:val="002826F0"/>
    <w:rsid w:val="002835A6"/>
    <w:rsid w:val="002844ED"/>
    <w:rsid w:val="00286FAD"/>
    <w:rsid w:val="002951A0"/>
    <w:rsid w:val="002962BC"/>
    <w:rsid w:val="002A093D"/>
    <w:rsid w:val="002A0DD0"/>
    <w:rsid w:val="002A1D2F"/>
    <w:rsid w:val="002A49AC"/>
    <w:rsid w:val="002A64FD"/>
    <w:rsid w:val="002A6BBF"/>
    <w:rsid w:val="002B1E57"/>
    <w:rsid w:val="002B1F7F"/>
    <w:rsid w:val="002B290B"/>
    <w:rsid w:val="002B61F2"/>
    <w:rsid w:val="002B7AD9"/>
    <w:rsid w:val="002C110E"/>
    <w:rsid w:val="002C2223"/>
    <w:rsid w:val="002C379A"/>
    <w:rsid w:val="002C765E"/>
    <w:rsid w:val="002C7A84"/>
    <w:rsid w:val="002D13A1"/>
    <w:rsid w:val="002D3F0D"/>
    <w:rsid w:val="002E1D98"/>
    <w:rsid w:val="002E2C3F"/>
    <w:rsid w:val="002E4FD9"/>
    <w:rsid w:val="002E5C5F"/>
    <w:rsid w:val="002E6F15"/>
    <w:rsid w:val="002F13FD"/>
    <w:rsid w:val="002F53FB"/>
    <w:rsid w:val="002F7016"/>
    <w:rsid w:val="0030056F"/>
    <w:rsid w:val="00303544"/>
    <w:rsid w:val="00303985"/>
    <w:rsid w:val="003039C1"/>
    <w:rsid w:val="00310DBE"/>
    <w:rsid w:val="00310E5C"/>
    <w:rsid w:val="003119D8"/>
    <w:rsid w:val="0031430F"/>
    <w:rsid w:val="00320BBD"/>
    <w:rsid w:val="003226F7"/>
    <w:rsid w:val="00322A85"/>
    <w:rsid w:val="00324168"/>
    <w:rsid w:val="00325755"/>
    <w:rsid w:val="0033032A"/>
    <w:rsid w:val="00330C97"/>
    <w:rsid w:val="00334C6A"/>
    <w:rsid w:val="00336C05"/>
    <w:rsid w:val="003409C8"/>
    <w:rsid w:val="00342675"/>
    <w:rsid w:val="00343512"/>
    <w:rsid w:val="003448F4"/>
    <w:rsid w:val="00345330"/>
    <w:rsid w:val="00350480"/>
    <w:rsid w:val="003522B9"/>
    <w:rsid w:val="003528DF"/>
    <w:rsid w:val="00352C12"/>
    <w:rsid w:val="00354BCA"/>
    <w:rsid w:val="00354FEA"/>
    <w:rsid w:val="00362DEE"/>
    <w:rsid w:val="0036594E"/>
    <w:rsid w:val="003665EE"/>
    <w:rsid w:val="0037010E"/>
    <w:rsid w:val="003734F4"/>
    <w:rsid w:val="00374F5E"/>
    <w:rsid w:val="0037527B"/>
    <w:rsid w:val="00377E3E"/>
    <w:rsid w:val="003815B3"/>
    <w:rsid w:val="003815E8"/>
    <w:rsid w:val="00386D13"/>
    <w:rsid w:val="00391392"/>
    <w:rsid w:val="00392A49"/>
    <w:rsid w:val="00393812"/>
    <w:rsid w:val="00396199"/>
    <w:rsid w:val="003A26D1"/>
    <w:rsid w:val="003A3B30"/>
    <w:rsid w:val="003A40E2"/>
    <w:rsid w:val="003A477B"/>
    <w:rsid w:val="003A779E"/>
    <w:rsid w:val="003B005A"/>
    <w:rsid w:val="003B0636"/>
    <w:rsid w:val="003B6385"/>
    <w:rsid w:val="003B78C4"/>
    <w:rsid w:val="003C3FA5"/>
    <w:rsid w:val="003D0F4D"/>
    <w:rsid w:val="003D1B5E"/>
    <w:rsid w:val="003D5B0D"/>
    <w:rsid w:val="003E0499"/>
    <w:rsid w:val="003E40F2"/>
    <w:rsid w:val="003E7EAA"/>
    <w:rsid w:val="003F3941"/>
    <w:rsid w:val="00400676"/>
    <w:rsid w:val="004008A9"/>
    <w:rsid w:val="0040480E"/>
    <w:rsid w:val="00404C4F"/>
    <w:rsid w:val="00406575"/>
    <w:rsid w:val="004069AB"/>
    <w:rsid w:val="00410906"/>
    <w:rsid w:val="0041655A"/>
    <w:rsid w:val="004252BF"/>
    <w:rsid w:val="00426FD7"/>
    <w:rsid w:val="0042722E"/>
    <w:rsid w:val="00427DA0"/>
    <w:rsid w:val="00440391"/>
    <w:rsid w:val="004405A4"/>
    <w:rsid w:val="004426AD"/>
    <w:rsid w:val="00442C7F"/>
    <w:rsid w:val="0044528D"/>
    <w:rsid w:val="0044798F"/>
    <w:rsid w:val="00447D82"/>
    <w:rsid w:val="00450920"/>
    <w:rsid w:val="004530EA"/>
    <w:rsid w:val="00454D48"/>
    <w:rsid w:val="00454F08"/>
    <w:rsid w:val="004554F9"/>
    <w:rsid w:val="0046004D"/>
    <w:rsid w:val="00461A6A"/>
    <w:rsid w:val="004633DE"/>
    <w:rsid w:val="00465E71"/>
    <w:rsid w:val="00466040"/>
    <w:rsid w:val="00471654"/>
    <w:rsid w:val="004734BD"/>
    <w:rsid w:val="00475854"/>
    <w:rsid w:val="00480BAF"/>
    <w:rsid w:val="00482608"/>
    <w:rsid w:val="00483749"/>
    <w:rsid w:val="00484809"/>
    <w:rsid w:val="00484BB1"/>
    <w:rsid w:val="00484FA3"/>
    <w:rsid w:val="00493A76"/>
    <w:rsid w:val="004A0980"/>
    <w:rsid w:val="004A0B8B"/>
    <w:rsid w:val="004A1847"/>
    <w:rsid w:val="004A305D"/>
    <w:rsid w:val="004A3312"/>
    <w:rsid w:val="004A66E3"/>
    <w:rsid w:val="004A7667"/>
    <w:rsid w:val="004B01B2"/>
    <w:rsid w:val="004B1CF0"/>
    <w:rsid w:val="004B740F"/>
    <w:rsid w:val="004C28C6"/>
    <w:rsid w:val="004C2E9A"/>
    <w:rsid w:val="004C4B37"/>
    <w:rsid w:val="004D026D"/>
    <w:rsid w:val="004D23A7"/>
    <w:rsid w:val="004E221E"/>
    <w:rsid w:val="004E2892"/>
    <w:rsid w:val="004E4C0B"/>
    <w:rsid w:val="004E505B"/>
    <w:rsid w:val="004E651A"/>
    <w:rsid w:val="004E7CE7"/>
    <w:rsid w:val="004F21C4"/>
    <w:rsid w:val="004F3012"/>
    <w:rsid w:val="004F3B9E"/>
    <w:rsid w:val="004F5559"/>
    <w:rsid w:val="004F685F"/>
    <w:rsid w:val="004F7EC9"/>
    <w:rsid w:val="00504CBE"/>
    <w:rsid w:val="00505795"/>
    <w:rsid w:val="00514598"/>
    <w:rsid w:val="005163B5"/>
    <w:rsid w:val="0052543A"/>
    <w:rsid w:val="00525FDB"/>
    <w:rsid w:val="0052785C"/>
    <w:rsid w:val="00533E1B"/>
    <w:rsid w:val="00540C2D"/>
    <w:rsid w:val="0054335F"/>
    <w:rsid w:val="00552502"/>
    <w:rsid w:val="00554BD4"/>
    <w:rsid w:val="00556143"/>
    <w:rsid w:val="005566E8"/>
    <w:rsid w:val="00560CB5"/>
    <w:rsid w:val="00564F8B"/>
    <w:rsid w:val="0057193B"/>
    <w:rsid w:val="00574122"/>
    <w:rsid w:val="00574867"/>
    <w:rsid w:val="00577D09"/>
    <w:rsid w:val="0058087F"/>
    <w:rsid w:val="0058131F"/>
    <w:rsid w:val="00591460"/>
    <w:rsid w:val="00592628"/>
    <w:rsid w:val="00597C75"/>
    <w:rsid w:val="005A0868"/>
    <w:rsid w:val="005A0CFB"/>
    <w:rsid w:val="005A282F"/>
    <w:rsid w:val="005A2AC9"/>
    <w:rsid w:val="005A6C21"/>
    <w:rsid w:val="005B2CCE"/>
    <w:rsid w:val="005B58C1"/>
    <w:rsid w:val="005B6033"/>
    <w:rsid w:val="005C14F1"/>
    <w:rsid w:val="005C3777"/>
    <w:rsid w:val="005C5CDC"/>
    <w:rsid w:val="005D17C8"/>
    <w:rsid w:val="005D2B2B"/>
    <w:rsid w:val="005D476C"/>
    <w:rsid w:val="005D5F91"/>
    <w:rsid w:val="005D7B25"/>
    <w:rsid w:val="005E6B74"/>
    <w:rsid w:val="005F3CE0"/>
    <w:rsid w:val="005F5A83"/>
    <w:rsid w:val="005F71CE"/>
    <w:rsid w:val="005F774E"/>
    <w:rsid w:val="005F7C43"/>
    <w:rsid w:val="00601DFC"/>
    <w:rsid w:val="00605A00"/>
    <w:rsid w:val="00610812"/>
    <w:rsid w:val="00612CE7"/>
    <w:rsid w:val="00613B77"/>
    <w:rsid w:val="00615F46"/>
    <w:rsid w:val="0062005D"/>
    <w:rsid w:val="006219F8"/>
    <w:rsid w:val="0063165E"/>
    <w:rsid w:val="00632C08"/>
    <w:rsid w:val="00650FF7"/>
    <w:rsid w:val="00656421"/>
    <w:rsid w:val="00660F6A"/>
    <w:rsid w:val="00663B19"/>
    <w:rsid w:val="00665032"/>
    <w:rsid w:val="00665D70"/>
    <w:rsid w:val="00671DAC"/>
    <w:rsid w:val="006747C7"/>
    <w:rsid w:val="006760AE"/>
    <w:rsid w:val="006827AC"/>
    <w:rsid w:val="006859A3"/>
    <w:rsid w:val="006900D9"/>
    <w:rsid w:val="006920AE"/>
    <w:rsid w:val="00697B17"/>
    <w:rsid w:val="006A0008"/>
    <w:rsid w:val="006A10DF"/>
    <w:rsid w:val="006A3147"/>
    <w:rsid w:val="006B07AE"/>
    <w:rsid w:val="006B14B5"/>
    <w:rsid w:val="006B25DE"/>
    <w:rsid w:val="006B4CA3"/>
    <w:rsid w:val="006C0240"/>
    <w:rsid w:val="006C238E"/>
    <w:rsid w:val="006C5595"/>
    <w:rsid w:val="006D12F8"/>
    <w:rsid w:val="006D3E4C"/>
    <w:rsid w:val="006D4E33"/>
    <w:rsid w:val="006E41C6"/>
    <w:rsid w:val="006F0D40"/>
    <w:rsid w:val="006F2501"/>
    <w:rsid w:val="00700975"/>
    <w:rsid w:val="00704D9B"/>
    <w:rsid w:val="00705E5F"/>
    <w:rsid w:val="00706C16"/>
    <w:rsid w:val="00711C85"/>
    <w:rsid w:val="00713695"/>
    <w:rsid w:val="0071458F"/>
    <w:rsid w:val="0071627C"/>
    <w:rsid w:val="007215D5"/>
    <w:rsid w:val="00723A7F"/>
    <w:rsid w:val="00723F2B"/>
    <w:rsid w:val="007312C3"/>
    <w:rsid w:val="00737C53"/>
    <w:rsid w:val="00737DFA"/>
    <w:rsid w:val="007534CA"/>
    <w:rsid w:val="00756841"/>
    <w:rsid w:val="00757E88"/>
    <w:rsid w:val="0076066F"/>
    <w:rsid w:val="00762AA9"/>
    <w:rsid w:val="007649AB"/>
    <w:rsid w:val="007670E3"/>
    <w:rsid w:val="00771D0C"/>
    <w:rsid w:val="00771FD2"/>
    <w:rsid w:val="0078274D"/>
    <w:rsid w:val="00783102"/>
    <w:rsid w:val="007833AC"/>
    <w:rsid w:val="00783657"/>
    <w:rsid w:val="00784D58"/>
    <w:rsid w:val="00786FBF"/>
    <w:rsid w:val="00790AB7"/>
    <w:rsid w:val="007913EA"/>
    <w:rsid w:val="00791769"/>
    <w:rsid w:val="00796340"/>
    <w:rsid w:val="007A23EA"/>
    <w:rsid w:val="007A5189"/>
    <w:rsid w:val="007B0D88"/>
    <w:rsid w:val="007B268C"/>
    <w:rsid w:val="007B7171"/>
    <w:rsid w:val="007B7D02"/>
    <w:rsid w:val="007C0C0F"/>
    <w:rsid w:val="007C2E67"/>
    <w:rsid w:val="007C3DC2"/>
    <w:rsid w:val="007C4E2B"/>
    <w:rsid w:val="007D0457"/>
    <w:rsid w:val="007D124A"/>
    <w:rsid w:val="007D43C9"/>
    <w:rsid w:val="007D7CFD"/>
    <w:rsid w:val="007E5497"/>
    <w:rsid w:val="007F28CA"/>
    <w:rsid w:val="007F52A4"/>
    <w:rsid w:val="007F60FB"/>
    <w:rsid w:val="007F7B94"/>
    <w:rsid w:val="00800789"/>
    <w:rsid w:val="00804981"/>
    <w:rsid w:val="00806F5F"/>
    <w:rsid w:val="00811270"/>
    <w:rsid w:val="00811E4F"/>
    <w:rsid w:val="008163D7"/>
    <w:rsid w:val="00820278"/>
    <w:rsid w:val="00834554"/>
    <w:rsid w:val="00834B31"/>
    <w:rsid w:val="00840ADC"/>
    <w:rsid w:val="00841A23"/>
    <w:rsid w:val="00843902"/>
    <w:rsid w:val="00843928"/>
    <w:rsid w:val="00843BF7"/>
    <w:rsid w:val="008449B3"/>
    <w:rsid w:val="00846276"/>
    <w:rsid w:val="00850E23"/>
    <w:rsid w:val="00851137"/>
    <w:rsid w:val="00853978"/>
    <w:rsid w:val="0085432F"/>
    <w:rsid w:val="00856C43"/>
    <w:rsid w:val="00864209"/>
    <w:rsid w:val="00865713"/>
    <w:rsid w:val="0087325B"/>
    <w:rsid w:val="00877EBA"/>
    <w:rsid w:val="0088002A"/>
    <w:rsid w:val="00881ABA"/>
    <w:rsid w:val="008841E9"/>
    <w:rsid w:val="008843B6"/>
    <w:rsid w:val="008853C1"/>
    <w:rsid w:val="00886C02"/>
    <w:rsid w:val="00886C89"/>
    <w:rsid w:val="00887569"/>
    <w:rsid w:val="00890991"/>
    <w:rsid w:val="00891928"/>
    <w:rsid w:val="00894384"/>
    <w:rsid w:val="00894B8B"/>
    <w:rsid w:val="008961BA"/>
    <w:rsid w:val="00897C82"/>
    <w:rsid w:val="008A00A4"/>
    <w:rsid w:val="008A446D"/>
    <w:rsid w:val="008A7A64"/>
    <w:rsid w:val="008A7F08"/>
    <w:rsid w:val="008B2F0E"/>
    <w:rsid w:val="008B5A2E"/>
    <w:rsid w:val="008B72AB"/>
    <w:rsid w:val="008D180B"/>
    <w:rsid w:val="008D1BDB"/>
    <w:rsid w:val="008D6CDA"/>
    <w:rsid w:val="008D7227"/>
    <w:rsid w:val="008E1F92"/>
    <w:rsid w:val="008E7333"/>
    <w:rsid w:val="008E7B09"/>
    <w:rsid w:val="008F0EA7"/>
    <w:rsid w:val="008F1CA9"/>
    <w:rsid w:val="008F7BB9"/>
    <w:rsid w:val="00904692"/>
    <w:rsid w:val="00910097"/>
    <w:rsid w:val="00911C7C"/>
    <w:rsid w:val="0091561E"/>
    <w:rsid w:val="00920849"/>
    <w:rsid w:val="009208C5"/>
    <w:rsid w:val="00922F57"/>
    <w:rsid w:val="00923EEF"/>
    <w:rsid w:val="009325CC"/>
    <w:rsid w:val="00934871"/>
    <w:rsid w:val="0093558D"/>
    <w:rsid w:val="009411F5"/>
    <w:rsid w:val="009419F9"/>
    <w:rsid w:val="00945B9F"/>
    <w:rsid w:val="00950BE2"/>
    <w:rsid w:val="00953AA4"/>
    <w:rsid w:val="00955305"/>
    <w:rsid w:val="0095685E"/>
    <w:rsid w:val="009572D9"/>
    <w:rsid w:val="009600D2"/>
    <w:rsid w:val="00961409"/>
    <w:rsid w:val="00961B09"/>
    <w:rsid w:val="00962300"/>
    <w:rsid w:val="00965334"/>
    <w:rsid w:val="0097093E"/>
    <w:rsid w:val="009725F1"/>
    <w:rsid w:val="00976025"/>
    <w:rsid w:val="00976F04"/>
    <w:rsid w:val="009800BE"/>
    <w:rsid w:val="00982E41"/>
    <w:rsid w:val="00983B79"/>
    <w:rsid w:val="00983EEA"/>
    <w:rsid w:val="00984649"/>
    <w:rsid w:val="009858BE"/>
    <w:rsid w:val="00997F1B"/>
    <w:rsid w:val="009A0DFA"/>
    <w:rsid w:val="009A3C2C"/>
    <w:rsid w:val="009A4A40"/>
    <w:rsid w:val="009B2D26"/>
    <w:rsid w:val="009B3595"/>
    <w:rsid w:val="009B5228"/>
    <w:rsid w:val="009B6C8C"/>
    <w:rsid w:val="009B77A5"/>
    <w:rsid w:val="009B780F"/>
    <w:rsid w:val="009C2DD0"/>
    <w:rsid w:val="009C3AC7"/>
    <w:rsid w:val="009C71FA"/>
    <w:rsid w:val="009C72E7"/>
    <w:rsid w:val="009D0555"/>
    <w:rsid w:val="009D1086"/>
    <w:rsid w:val="009D3058"/>
    <w:rsid w:val="009D3A11"/>
    <w:rsid w:val="009D44C4"/>
    <w:rsid w:val="009D6427"/>
    <w:rsid w:val="009D67FD"/>
    <w:rsid w:val="009E4636"/>
    <w:rsid w:val="009E5A30"/>
    <w:rsid w:val="009E7C05"/>
    <w:rsid w:val="009F3831"/>
    <w:rsid w:val="009F3832"/>
    <w:rsid w:val="009F3A13"/>
    <w:rsid w:val="009F4AB2"/>
    <w:rsid w:val="009F73F7"/>
    <w:rsid w:val="00A02465"/>
    <w:rsid w:val="00A03415"/>
    <w:rsid w:val="00A04A81"/>
    <w:rsid w:val="00A122D3"/>
    <w:rsid w:val="00A1362A"/>
    <w:rsid w:val="00A14D3D"/>
    <w:rsid w:val="00A17F13"/>
    <w:rsid w:val="00A20739"/>
    <w:rsid w:val="00A211D0"/>
    <w:rsid w:val="00A23361"/>
    <w:rsid w:val="00A24433"/>
    <w:rsid w:val="00A2443A"/>
    <w:rsid w:val="00A25580"/>
    <w:rsid w:val="00A328F2"/>
    <w:rsid w:val="00A332DD"/>
    <w:rsid w:val="00A339A9"/>
    <w:rsid w:val="00A33C78"/>
    <w:rsid w:val="00A34B38"/>
    <w:rsid w:val="00A34D87"/>
    <w:rsid w:val="00A35538"/>
    <w:rsid w:val="00A3685A"/>
    <w:rsid w:val="00A3783B"/>
    <w:rsid w:val="00A37BC4"/>
    <w:rsid w:val="00A42050"/>
    <w:rsid w:val="00A43292"/>
    <w:rsid w:val="00A445C0"/>
    <w:rsid w:val="00A52D82"/>
    <w:rsid w:val="00A56959"/>
    <w:rsid w:val="00A56FCA"/>
    <w:rsid w:val="00A6004A"/>
    <w:rsid w:val="00A613C2"/>
    <w:rsid w:val="00A7332E"/>
    <w:rsid w:val="00A745FA"/>
    <w:rsid w:val="00A74DE6"/>
    <w:rsid w:val="00A75866"/>
    <w:rsid w:val="00A8086A"/>
    <w:rsid w:val="00A80F32"/>
    <w:rsid w:val="00A828F1"/>
    <w:rsid w:val="00A830AD"/>
    <w:rsid w:val="00A87F7D"/>
    <w:rsid w:val="00A9244C"/>
    <w:rsid w:val="00A94D14"/>
    <w:rsid w:val="00A95106"/>
    <w:rsid w:val="00A95A1A"/>
    <w:rsid w:val="00AA1328"/>
    <w:rsid w:val="00AA23BB"/>
    <w:rsid w:val="00AB0ADB"/>
    <w:rsid w:val="00AB3FD1"/>
    <w:rsid w:val="00AC0DF9"/>
    <w:rsid w:val="00AC0EAB"/>
    <w:rsid w:val="00AC4701"/>
    <w:rsid w:val="00AC49A2"/>
    <w:rsid w:val="00AD73E2"/>
    <w:rsid w:val="00AE2631"/>
    <w:rsid w:val="00AE3D6C"/>
    <w:rsid w:val="00AF0CA5"/>
    <w:rsid w:val="00AF1BEC"/>
    <w:rsid w:val="00AF54CA"/>
    <w:rsid w:val="00B009B8"/>
    <w:rsid w:val="00B01B1A"/>
    <w:rsid w:val="00B0268A"/>
    <w:rsid w:val="00B0410F"/>
    <w:rsid w:val="00B07DDD"/>
    <w:rsid w:val="00B14E03"/>
    <w:rsid w:val="00B26B98"/>
    <w:rsid w:val="00B35201"/>
    <w:rsid w:val="00B35ADC"/>
    <w:rsid w:val="00B37C24"/>
    <w:rsid w:val="00B40FBC"/>
    <w:rsid w:val="00B427E2"/>
    <w:rsid w:val="00B46F27"/>
    <w:rsid w:val="00B47FD7"/>
    <w:rsid w:val="00B51F75"/>
    <w:rsid w:val="00B52169"/>
    <w:rsid w:val="00B53166"/>
    <w:rsid w:val="00B53E27"/>
    <w:rsid w:val="00B558AF"/>
    <w:rsid w:val="00B615BA"/>
    <w:rsid w:val="00B62D8B"/>
    <w:rsid w:val="00B72CD3"/>
    <w:rsid w:val="00B72FFF"/>
    <w:rsid w:val="00B76CEB"/>
    <w:rsid w:val="00B80CC6"/>
    <w:rsid w:val="00B8257D"/>
    <w:rsid w:val="00B82B8B"/>
    <w:rsid w:val="00B86FE2"/>
    <w:rsid w:val="00B91186"/>
    <w:rsid w:val="00B93423"/>
    <w:rsid w:val="00B93E58"/>
    <w:rsid w:val="00B948E8"/>
    <w:rsid w:val="00BA0A22"/>
    <w:rsid w:val="00BA2EF4"/>
    <w:rsid w:val="00BA6BE0"/>
    <w:rsid w:val="00BB22DA"/>
    <w:rsid w:val="00BB2C9D"/>
    <w:rsid w:val="00BB76A0"/>
    <w:rsid w:val="00BC0036"/>
    <w:rsid w:val="00BC05A6"/>
    <w:rsid w:val="00BC3D36"/>
    <w:rsid w:val="00BC4B34"/>
    <w:rsid w:val="00BC7498"/>
    <w:rsid w:val="00BD424C"/>
    <w:rsid w:val="00BD4BCA"/>
    <w:rsid w:val="00BD7F72"/>
    <w:rsid w:val="00BE03BC"/>
    <w:rsid w:val="00BE09D7"/>
    <w:rsid w:val="00BE0A18"/>
    <w:rsid w:val="00BE27D3"/>
    <w:rsid w:val="00BF0D99"/>
    <w:rsid w:val="00BF1201"/>
    <w:rsid w:val="00BF1D4A"/>
    <w:rsid w:val="00BF230F"/>
    <w:rsid w:val="00C002E3"/>
    <w:rsid w:val="00C012CC"/>
    <w:rsid w:val="00C04FB3"/>
    <w:rsid w:val="00C056DC"/>
    <w:rsid w:val="00C06C4F"/>
    <w:rsid w:val="00C147D0"/>
    <w:rsid w:val="00C159C1"/>
    <w:rsid w:val="00C16346"/>
    <w:rsid w:val="00C21B15"/>
    <w:rsid w:val="00C21B8C"/>
    <w:rsid w:val="00C32523"/>
    <w:rsid w:val="00C3281B"/>
    <w:rsid w:val="00C330EB"/>
    <w:rsid w:val="00C34712"/>
    <w:rsid w:val="00C371C9"/>
    <w:rsid w:val="00C40E9F"/>
    <w:rsid w:val="00C41481"/>
    <w:rsid w:val="00C42469"/>
    <w:rsid w:val="00C46D91"/>
    <w:rsid w:val="00C47A07"/>
    <w:rsid w:val="00C47B74"/>
    <w:rsid w:val="00C50855"/>
    <w:rsid w:val="00C57281"/>
    <w:rsid w:val="00C57E63"/>
    <w:rsid w:val="00C65D65"/>
    <w:rsid w:val="00C66D80"/>
    <w:rsid w:val="00C67703"/>
    <w:rsid w:val="00C7173F"/>
    <w:rsid w:val="00C730B6"/>
    <w:rsid w:val="00C7352F"/>
    <w:rsid w:val="00C7482D"/>
    <w:rsid w:val="00C754BE"/>
    <w:rsid w:val="00C76466"/>
    <w:rsid w:val="00C76B1C"/>
    <w:rsid w:val="00C82239"/>
    <w:rsid w:val="00C90209"/>
    <w:rsid w:val="00C915DD"/>
    <w:rsid w:val="00C91B94"/>
    <w:rsid w:val="00C92665"/>
    <w:rsid w:val="00CA4272"/>
    <w:rsid w:val="00CA6A9D"/>
    <w:rsid w:val="00CA7F6B"/>
    <w:rsid w:val="00CB6357"/>
    <w:rsid w:val="00CC0106"/>
    <w:rsid w:val="00CC0FA3"/>
    <w:rsid w:val="00CC1B26"/>
    <w:rsid w:val="00CC49F7"/>
    <w:rsid w:val="00CC54DB"/>
    <w:rsid w:val="00CC7787"/>
    <w:rsid w:val="00CD087D"/>
    <w:rsid w:val="00CD41CB"/>
    <w:rsid w:val="00CD5EE0"/>
    <w:rsid w:val="00CD75D6"/>
    <w:rsid w:val="00CE02A2"/>
    <w:rsid w:val="00CE3273"/>
    <w:rsid w:val="00CE509A"/>
    <w:rsid w:val="00CE5414"/>
    <w:rsid w:val="00CF241F"/>
    <w:rsid w:val="00CF7826"/>
    <w:rsid w:val="00D0157A"/>
    <w:rsid w:val="00D02088"/>
    <w:rsid w:val="00D036D8"/>
    <w:rsid w:val="00D038ED"/>
    <w:rsid w:val="00D05617"/>
    <w:rsid w:val="00D06D26"/>
    <w:rsid w:val="00D10B75"/>
    <w:rsid w:val="00D13351"/>
    <w:rsid w:val="00D15E25"/>
    <w:rsid w:val="00D20368"/>
    <w:rsid w:val="00D22361"/>
    <w:rsid w:val="00D22598"/>
    <w:rsid w:val="00D26924"/>
    <w:rsid w:val="00D35468"/>
    <w:rsid w:val="00D413F6"/>
    <w:rsid w:val="00D4231B"/>
    <w:rsid w:val="00D423A2"/>
    <w:rsid w:val="00D4461E"/>
    <w:rsid w:val="00D45E4A"/>
    <w:rsid w:val="00D520D8"/>
    <w:rsid w:val="00D52961"/>
    <w:rsid w:val="00D55048"/>
    <w:rsid w:val="00D56C6D"/>
    <w:rsid w:val="00D57FA4"/>
    <w:rsid w:val="00D62DE7"/>
    <w:rsid w:val="00D63AC2"/>
    <w:rsid w:val="00D63E03"/>
    <w:rsid w:val="00D665B4"/>
    <w:rsid w:val="00D7080D"/>
    <w:rsid w:val="00D7383B"/>
    <w:rsid w:val="00D7609E"/>
    <w:rsid w:val="00D80C8C"/>
    <w:rsid w:val="00D81A63"/>
    <w:rsid w:val="00D81D25"/>
    <w:rsid w:val="00D85C60"/>
    <w:rsid w:val="00D86C54"/>
    <w:rsid w:val="00D91F8B"/>
    <w:rsid w:val="00D94C40"/>
    <w:rsid w:val="00D95B2A"/>
    <w:rsid w:val="00DA231B"/>
    <w:rsid w:val="00DA23A0"/>
    <w:rsid w:val="00DA7D04"/>
    <w:rsid w:val="00DA7F66"/>
    <w:rsid w:val="00DB186F"/>
    <w:rsid w:val="00DB77B8"/>
    <w:rsid w:val="00DC39FC"/>
    <w:rsid w:val="00DC4385"/>
    <w:rsid w:val="00DC484F"/>
    <w:rsid w:val="00DC4C27"/>
    <w:rsid w:val="00DC51BC"/>
    <w:rsid w:val="00DC6BB5"/>
    <w:rsid w:val="00DC78A7"/>
    <w:rsid w:val="00DC793F"/>
    <w:rsid w:val="00DE3BDD"/>
    <w:rsid w:val="00DE4629"/>
    <w:rsid w:val="00DE58C9"/>
    <w:rsid w:val="00DE6EAA"/>
    <w:rsid w:val="00DF11FD"/>
    <w:rsid w:val="00DF5254"/>
    <w:rsid w:val="00E052F2"/>
    <w:rsid w:val="00E05FCB"/>
    <w:rsid w:val="00E12426"/>
    <w:rsid w:val="00E14EB2"/>
    <w:rsid w:val="00E16408"/>
    <w:rsid w:val="00E20894"/>
    <w:rsid w:val="00E2397D"/>
    <w:rsid w:val="00E23B70"/>
    <w:rsid w:val="00E245AB"/>
    <w:rsid w:val="00E26239"/>
    <w:rsid w:val="00E2764C"/>
    <w:rsid w:val="00E27F2E"/>
    <w:rsid w:val="00E35539"/>
    <w:rsid w:val="00E413EA"/>
    <w:rsid w:val="00E47F28"/>
    <w:rsid w:val="00E50AFE"/>
    <w:rsid w:val="00E52E49"/>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4C6"/>
    <w:rsid w:val="00EA1CD8"/>
    <w:rsid w:val="00EA29F8"/>
    <w:rsid w:val="00EA393B"/>
    <w:rsid w:val="00EA39A5"/>
    <w:rsid w:val="00EA65CD"/>
    <w:rsid w:val="00EB2C4B"/>
    <w:rsid w:val="00EB3BB3"/>
    <w:rsid w:val="00EB5D9B"/>
    <w:rsid w:val="00EB7E00"/>
    <w:rsid w:val="00EC1A2C"/>
    <w:rsid w:val="00EC1FE1"/>
    <w:rsid w:val="00EC38A7"/>
    <w:rsid w:val="00ED042A"/>
    <w:rsid w:val="00ED0D4A"/>
    <w:rsid w:val="00ED36D1"/>
    <w:rsid w:val="00EE1AA8"/>
    <w:rsid w:val="00EE6DCD"/>
    <w:rsid w:val="00EF26C3"/>
    <w:rsid w:val="00EF419E"/>
    <w:rsid w:val="00EF489F"/>
    <w:rsid w:val="00F00796"/>
    <w:rsid w:val="00F11213"/>
    <w:rsid w:val="00F11BAA"/>
    <w:rsid w:val="00F177C1"/>
    <w:rsid w:val="00F17EB6"/>
    <w:rsid w:val="00F238F2"/>
    <w:rsid w:val="00F248A2"/>
    <w:rsid w:val="00F260AA"/>
    <w:rsid w:val="00F27B26"/>
    <w:rsid w:val="00F30B1C"/>
    <w:rsid w:val="00F31EDC"/>
    <w:rsid w:val="00F34D02"/>
    <w:rsid w:val="00F34E84"/>
    <w:rsid w:val="00F40890"/>
    <w:rsid w:val="00F40BAD"/>
    <w:rsid w:val="00F462B3"/>
    <w:rsid w:val="00F50DC9"/>
    <w:rsid w:val="00F5184B"/>
    <w:rsid w:val="00F5491E"/>
    <w:rsid w:val="00F55081"/>
    <w:rsid w:val="00F55168"/>
    <w:rsid w:val="00F5664F"/>
    <w:rsid w:val="00F61ABB"/>
    <w:rsid w:val="00F626C4"/>
    <w:rsid w:val="00F64768"/>
    <w:rsid w:val="00F64D9E"/>
    <w:rsid w:val="00F664EC"/>
    <w:rsid w:val="00F666C4"/>
    <w:rsid w:val="00F7684C"/>
    <w:rsid w:val="00F76AFC"/>
    <w:rsid w:val="00F80CBE"/>
    <w:rsid w:val="00F85198"/>
    <w:rsid w:val="00F85237"/>
    <w:rsid w:val="00F939CB"/>
    <w:rsid w:val="00F9479C"/>
    <w:rsid w:val="00F95196"/>
    <w:rsid w:val="00F965EE"/>
    <w:rsid w:val="00F97949"/>
    <w:rsid w:val="00FA1110"/>
    <w:rsid w:val="00FA1361"/>
    <w:rsid w:val="00FA34EC"/>
    <w:rsid w:val="00FA358D"/>
    <w:rsid w:val="00FA47C0"/>
    <w:rsid w:val="00FA5F1F"/>
    <w:rsid w:val="00FB4425"/>
    <w:rsid w:val="00FB5615"/>
    <w:rsid w:val="00FB5DD1"/>
    <w:rsid w:val="00FB5F87"/>
    <w:rsid w:val="00FC07B5"/>
    <w:rsid w:val="00FC2B5D"/>
    <w:rsid w:val="00FD00BB"/>
    <w:rsid w:val="00FD00E9"/>
    <w:rsid w:val="00FD03E3"/>
    <w:rsid w:val="00FD108E"/>
    <w:rsid w:val="00FD5276"/>
    <w:rsid w:val="00FD653F"/>
    <w:rsid w:val="00FE122A"/>
    <w:rsid w:val="00FE20E6"/>
    <w:rsid w:val="00FE3927"/>
    <w:rsid w:val="00FE658E"/>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C6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99"/>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character" w:customStyle="1" w:styleId="baj">
    <w:name w:val="b_aj"/>
    <w:basedOn w:val="Fuentedeprrafopredeter"/>
    <w:rsid w:val="00E2397D"/>
  </w:style>
  <w:style w:type="paragraph" w:customStyle="1" w:styleId="Textoindependiente1">
    <w:name w:val="Texto independiente1"/>
    <w:basedOn w:val="Normal"/>
    <w:next w:val="Textoindependiente"/>
    <w:uiPriority w:val="99"/>
    <w:unhideWhenUsed/>
    <w:rsid w:val="006B14B5"/>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6B14B5"/>
    <w:pPr>
      <w:spacing w:after="120"/>
    </w:pPr>
  </w:style>
  <w:style w:type="character" w:customStyle="1" w:styleId="UnresolvedMention1">
    <w:name w:val="Unresolved Mention1"/>
    <w:basedOn w:val="Fuentedeprrafopredeter"/>
    <w:uiPriority w:val="99"/>
    <w:semiHidden/>
    <w:unhideWhenUsed/>
    <w:rsid w:val="00131E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0629713">
      <w:bodyDiv w:val="1"/>
      <w:marLeft w:val="0"/>
      <w:marRight w:val="0"/>
      <w:marTop w:val="0"/>
      <w:marBottom w:val="0"/>
      <w:divBdr>
        <w:top w:val="none" w:sz="0" w:space="0" w:color="auto"/>
        <w:left w:val="none" w:sz="0" w:space="0" w:color="auto"/>
        <w:bottom w:val="none" w:sz="0" w:space="0" w:color="auto"/>
        <w:right w:val="none" w:sz="0" w:space="0" w:color="auto"/>
      </w:divBdr>
      <w:divsChild>
        <w:div w:id="1038821504">
          <w:marLeft w:val="0"/>
          <w:marRight w:val="0"/>
          <w:marTop w:val="0"/>
          <w:marBottom w:val="0"/>
          <w:divBdr>
            <w:top w:val="none" w:sz="0" w:space="0" w:color="auto"/>
            <w:left w:val="none" w:sz="0" w:space="0" w:color="auto"/>
            <w:bottom w:val="none" w:sz="0" w:space="0" w:color="auto"/>
            <w:right w:val="none" w:sz="0" w:space="0" w:color="auto"/>
          </w:divBdr>
        </w:div>
      </w:divsChild>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1632463">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delfuentes@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999A1FA2-C5BA-402D-97BB-1BA346145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7525</Words>
  <Characters>41393</Characters>
  <Application>Microsoft Office Word</Application>
  <DocSecurity>0</DocSecurity>
  <Lines>344</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2</cp:revision>
  <cp:lastPrinted>2025-02-25T15:45:00Z</cp:lastPrinted>
  <dcterms:created xsi:type="dcterms:W3CDTF">2025-08-29T23:27:00Z</dcterms:created>
  <dcterms:modified xsi:type="dcterms:W3CDTF">2025-08-29T23:27:00Z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